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B8" w:rsidRPr="003D20B8" w:rsidRDefault="003D20B8" w:rsidP="003D20B8">
      <w:pPr>
        <w:spacing w:after="0" w:line="480" w:lineRule="auto"/>
        <w:jc w:val="center"/>
        <w:rPr>
          <w:rFonts w:ascii="Arial" w:hAnsi="Arial" w:cs="Arial"/>
          <w:b/>
          <w:sz w:val="28"/>
        </w:rPr>
      </w:pPr>
      <w:r w:rsidRPr="003D20B8">
        <w:rPr>
          <w:rFonts w:ascii="Arial" w:hAnsi="Arial" w:cs="Arial"/>
          <w:b/>
          <w:sz w:val="28"/>
        </w:rPr>
        <w:t>Игра с волшебным фонариком «Новогодние словечки»</w:t>
      </w:r>
      <w:r>
        <w:rPr>
          <w:rFonts w:ascii="Arial" w:hAnsi="Arial" w:cs="Arial"/>
          <w:b/>
          <w:sz w:val="28"/>
        </w:rPr>
        <w:t>. Часть 1</w:t>
      </w:r>
    </w:p>
    <w:p w:rsidR="003D20B8" w:rsidRDefault="003D20B8" w:rsidP="003D20B8">
      <w:pPr>
        <w:spacing w:after="0" w:line="480" w:lineRule="auto"/>
        <w:jc w:val="both"/>
        <w:rPr>
          <w:rFonts w:ascii="Arial" w:hAnsi="Arial" w:cs="Arial"/>
          <w:sz w:val="28"/>
        </w:rPr>
      </w:pPr>
    </w:p>
    <w:p w:rsidR="003D20B8" w:rsidRDefault="003D20B8" w:rsidP="003D20B8">
      <w:pPr>
        <w:spacing w:after="0" w:line="48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Данное пособие выполняется из листа чёрной бумаги и прозрачной </w:t>
      </w:r>
      <w:proofErr w:type="spellStart"/>
      <w:r>
        <w:rPr>
          <w:rFonts w:ascii="Arial" w:hAnsi="Arial" w:cs="Arial"/>
          <w:sz w:val="28"/>
        </w:rPr>
        <w:t>мультифоры</w:t>
      </w:r>
      <w:proofErr w:type="spellEnd"/>
      <w:r>
        <w:rPr>
          <w:rFonts w:ascii="Arial" w:hAnsi="Arial" w:cs="Arial"/>
          <w:sz w:val="28"/>
        </w:rPr>
        <w:t xml:space="preserve"> и позволяет в занимательной форме работать с детьми по теме «Зима. Новый год»:</w:t>
      </w:r>
    </w:p>
    <w:p w:rsidR="003D20B8" w:rsidRDefault="003D20B8" w:rsidP="003D20B8">
      <w:pPr>
        <w:spacing w:after="0" w:line="48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создавать условия для развития зрительного внимания</w:t>
      </w:r>
    </w:p>
    <w:p w:rsidR="003D20B8" w:rsidRDefault="003D20B8" w:rsidP="003D20B8">
      <w:pPr>
        <w:spacing w:after="0" w:line="48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способствовать развитию визуальной памяти</w:t>
      </w:r>
      <w:bookmarkStart w:id="0" w:name="_GoBack"/>
      <w:bookmarkEnd w:id="0"/>
    </w:p>
    <w:p w:rsidR="003D20B8" w:rsidRDefault="003D20B8" w:rsidP="003D20B8">
      <w:pPr>
        <w:spacing w:after="0" w:line="48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способствовать развитию слоговой структуры слов (отхлопывать названия слов по слогам) и мн. др.</w:t>
      </w:r>
    </w:p>
    <w:p w:rsidR="003D20B8" w:rsidRDefault="003D20B8" w:rsidP="003D20B8">
      <w:pPr>
        <w:spacing w:after="0"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Лексический материал: рукавичка (варежка), подарок, олень, конфета, письмо (конверт), колокольчик, шарик, салют (фейерверк), гирлянда, какао (кофе, чай), домик.</w:t>
      </w:r>
    </w:p>
    <w:p w:rsidR="003D20B8" w:rsidRPr="003D20B8" w:rsidRDefault="003D20B8" w:rsidP="003D20B8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721116" wp14:editId="1A064366">
            <wp:extent cx="6840220" cy="4895215"/>
            <wp:effectExtent l="0" t="0" r="0" b="635"/>
            <wp:docPr id="2" name="Рисунок 2" descr="C:\Users\Нина\AppData\Local\Microsoft\Windows\INetCache\Content.Word\photo_524704810730323060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AppData\Local\Microsoft\Windows\INetCache\Content.Word\photo_5247048107303230600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4959556"/>
            <wp:effectExtent l="0" t="0" r="0" b="0"/>
            <wp:docPr id="1" name="Рисунок 1" descr="C:\Users\Нина\AppData\Local\Microsoft\Windows\INetCache\Content.Word\photo_524704810730323060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AppData\Local\Microsoft\Windows\INetCache\Content.Word\photo_5247048107303230601_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0B8" w:rsidRPr="003D20B8" w:rsidSect="003D20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8"/>
    <w:rsid w:val="003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5949-3467-4A8A-A133-F2F7B6E1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2024-01-07T11:20:00Z</dcterms:created>
  <dcterms:modified xsi:type="dcterms:W3CDTF">2024-01-07T11:27:00Z</dcterms:modified>
</cp:coreProperties>
</file>