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914"/>
        <w:gridCol w:w="2592"/>
        <w:gridCol w:w="642"/>
        <w:gridCol w:w="8"/>
        <w:gridCol w:w="1850"/>
      </w:tblGrid>
      <w:tr w:rsidR="00926002" w:rsidRPr="001E02F9" w:rsidTr="00A464C8">
        <w:tc>
          <w:tcPr>
            <w:tcW w:w="5579" w:type="dxa"/>
            <w:gridSpan w:val="2"/>
          </w:tcPr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№1</w:t>
            </w:r>
          </w:p>
          <w:p w:rsidR="00926002" w:rsidRPr="00B94FD4" w:rsidRDefault="00926002" w:rsidP="00A464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r w:rsidRPr="005009E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Конституциялық негіздері,  Конституция – Қазақстан Республикасының негізгі заңы.</w:t>
            </w:r>
            <w:bookmarkEnd w:id="0"/>
            <w:r w:rsidRPr="00500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және мемлекеттегі Қарулы Күштер</w:t>
            </w:r>
          </w:p>
        </w:tc>
        <w:tc>
          <w:tcPr>
            <w:tcW w:w="5409" w:type="dxa"/>
            <w:gridSpan w:val="4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</w:p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«Саурық батыр ауылындағы ОМ» КММ</w:t>
            </w:r>
          </w:p>
        </w:tc>
      </w:tr>
      <w:tr w:rsidR="00926002" w:rsidRPr="001E02F9" w:rsidTr="00A464C8">
        <w:tc>
          <w:tcPr>
            <w:tcW w:w="5579" w:type="dxa"/>
            <w:gridSpan w:val="2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gridSpan w:val="4"/>
          </w:tcPr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есімі</w:t>
            </w:r>
          </w:p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Отелбаев Ержан Калиевич</w:t>
            </w:r>
          </w:p>
        </w:tc>
      </w:tr>
      <w:tr w:rsidR="00926002" w:rsidRPr="007C6E60" w:rsidTr="00A464C8">
        <w:tc>
          <w:tcPr>
            <w:tcW w:w="5579" w:type="dxa"/>
            <w:gridSpan w:val="2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10 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6002" w:rsidRPr="001E02F9" w:rsidTr="00A464C8">
        <w:tc>
          <w:tcPr>
            <w:tcW w:w="5579" w:type="dxa"/>
            <w:gridSpan w:val="2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негізделген оқу мақсаты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gridSpan w:val="4"/>
          </w:tcPr>
          <w:p w:rsidR="00926002" w:rsidRPr="005009E8" w:rsidRDefault="00926002" w:rsidP="00A464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1.Оқушы</w:t>
            </w:r>
            <w:r w:rsidRPr="00500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ларға Қазақстан Республикасының </w:t>
            </w:r>
            <w:r w:rsidRPr="005009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конституциялық негіздері және Қарулы Күштердің мемлекеттегі орны туралы түсіндіру.</w:t>
            </w:r>
          </w:p>
          <w:p w:rsidR="00926002" w:rsidRPr="005009E8" w:rsidRDefault="00926002" w:rsidP="00A464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Оқушылардың саяси көзқарасын, ой-өрісін дамыту.</w:t>
            </w:r>
          </w:p>
          <w:p w:rsidR="00926002" w:rsidRDefault="00926002" w:rsidP="00A464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Отанын, Елін, жерін, халқын сүюге, Отан қорғауға тәрбиелеу, патриоттық сезімге баулу.</w:t>
            </w:r>
          </w:p>
          <w:p w:rsidR="00926002" w:rsidRPr="00EB1CAA" w:rsidRDefault="00926002" w:rsidP="00A464C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4.ОҚН білім беру ұйымдарында АҚ ұйымдастыру</w:t>
            </w:r>
          </w:p>
        </w:tc>
      </w:tr>
      <w:tr w:rsidR="00926002" w:rsidRPr="001E02F9" w:rsidTr="00A464C8">
        <w:trPr>
          <w:trHeight w:val="690"/>
        </w:trPr>
        <w:tc>
          <w:tcPr>
            <w:tcW w:w="5579" w:type="dxa"/>
            <w:gridSpan w:val="2"/>
            <w:vMerge w:val="restart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5409" w:type="dxa"/>
            <w:gridSpan w:val="4"/>
            <w:tcBorders>
              <w:bottom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оқып, мазмұны мен идеясын анықтайды</w:t>
            </w:r>
          </w:p>
        </w:tc>
      </w:tr>
      <w:tr w:rsidR="00926002" w:rsidRPr="007C6E60" w:rsidTr="00A464C8">
        <w:trPr>
          <w:trHeight w:val="645"/>
        </w:trPr>
        <w:tc>
          <w:tcPr>
            <w:tcW w:w="5579" w:type="dxa"/>
            <w:gridSpan w:val="2"/>
            <w:vMerge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Тақырыппен танысады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02" w:rsidRPr="001E02F9" w:rsidTr="00A464C8">
        <w:trPr>
          <w:trHeight w:val="426"/>
        </w:trPr>
        <w:tc>
          <w:tcPr>
            <w:tcW w:w="5579" w:type="dxa"/>
            <w:gridSpan w:val="2"/>
            <w:vMerge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gridSpan w:val="4"/>
            <w:tcBorders>
              <w:top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Деңгейіне қарай білімін тиянақтайды</w:t>
            </w:r>
          </w:p>
        </w:tc>
      </w:tr>
      <w:tr w:rsidR="00926002" w:rsidRPr="001E02F9" w:rsidTr="00A464C8">
        <w:tc>
          <w:tcPr>
            <w:tcW w:w="10988" w:type="dxa"/>
            <w:gridSpan w:val="6"/>
          </w:tcPr>
          <w:p w:rsidR="00926002" w:rsidRPr="005009E8" w:rsidRDefault="00926002" w:rsidP="00A464C8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оқу:</w:t>
            </w:r>
            <w:r w:rsidRPr="00500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Өткен сабақты жаңа сабақпен байланыстыру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02" w:rsidRPr="007C6E60" w:rsidTr="00A464C8">
        <w:tc>
          <w:tcPr>
            <w:tcW w:w="10988" w:type="dxa"/>
            <w:gridSpan w:val="6"/>
          </w:tcPr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02" w:rsidRPr="007C6E60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жаттығулар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02" w:rsidRPr="001E02F9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 мин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Қызығушылықтарын ояту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tabs>
                <w:tab w:val="left" w:pos="2940"/>
                <w:tab w:val="left" w:pos="3690"/>
                <w:tab w:val="center" w:pos="49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Оқушылардың сабаққа дайындығы жөніндегі взвод командирінің баяндамасы ,Оқушыларды түгелдеу , екі қатарлы сапқа тұрғызып сырт көрінісін тексеру , Орнындағы бұрылыстарды </w:t>
            </w:r>
            <w:r w:rsidRPr="00500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 оң – ға ! » , « сол – ға ! » , </w:t>
            </w:r>
          </w:p>
          <w:p w:rsidR="00926002" w:rsidRPr="005009E8" w:rsidRDefault="00926002" w:rsidP="00A464C8">
            <w:pPr>
              <w:tabs>
                <w:tab w:val="left" w:pos="2940"/>
                <w:tab w:val="left" w:pos="3690"/>
                <w:tab w:val="center" w:pos="498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 ай – нал ! »</w:t>
            </w:r>
            <w:r w:rsidRPr="005009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пәрмендерін орындау , АӘД кабинетіне кіргізу , орналастыру ,Оқушылар назарын жаңа  сабақ барысында білім алуға бағыттап , бірыңғай талап қою .</w:t>
            </w:r>
          </w:p>
          <w:p w:rsidR="00926002" w:rsidRPr="005009E8" w:rsidRDefault="00926002" w:rsidP="00A464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/>
                <w:sz w:val="24"/>
                <w:szCs w:val="24"/>
                <w:lang w:val="kk-KZ"/>
              </w:rPr>
              <w:t>Ынтымақтастық атмосфераны орнату. Өз-өзін реттеу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Жұпқа бөлу: 1-2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анау арқылы. 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критерилерімен таныстыру:</w:t>
            </w:r>
          </w:p>
          <w:p w:rsidR="00926002" w:rsidRPr="005009E8" w:rsidRDefault="00926002" w:rsidP="00A46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мәнін аша білу.</w:t>
            </w:r>
          </w:p>
          <w:p w:rsidR="00926002" w:rsidRPr="005009E8" w:rsidRDefault="00926002" w:rsidP="00A46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толық жеткізе білу.</w:t>
            </w:r>
          </w:p>
          <w:p w:rsidR="00926002" w:rsidRPr="005009E8" w:rsidRDefault="00926002" w:rsidP="00A46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Сұрақтарға жауап беру.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Бағалаушы тағайындалады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өткен тапсырманы сұрақ қою арқылы ойын түрінде еркін жауап беруге , нақты жауап беруге дағдыландыру. Бұл әдісті пайдалану кезінде сыни ойлатуға жол бере отырып, бірнеше сұрақтар қойған кезде үнсіз отыратын оқушылардың өздері  сабақта диалогтық қарым-қатынасқа түседі.</w:t>
            </w:r>
          </w:p>
          <w:p w:rsidR="00926002" w:rsidRPr="005009E8" w:rsidRDefault="00926002" w:rsidP="00A464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«Алғашқы әскери дайындық»сабағының мақсаты қандай?</w:t>
            </w:r>
          </w:p>
          <w:p w:rsidR="00926002" w:rsidRPr="005009E8" w:rsidRDefault="00926002" w:rsidP="00A464C8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«Алғашқы әскери дайындық»сабағы қандай заңдар мен қаулыларға сәйкес жүргізіледі?</w:t>
            </w:r>
          </w:p>
          <w:p w:rsidR="00926002" w:rsidRPr="005009E8" w:rsidRDefault="00926002" w:rsidP="00A464C8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«Алғашқы әскери дайындық» оқулығы қандай бөлімдерден тұрады?</w:t>
            </w:r>
          </w:p>
          <w:p w:rsidR="00926002" w:rsidRPr="005009E8" w:rsidRDefault="00926002" w:rsidP="00A464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Тәсілді көрсету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барысында алынған тәсіл.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02" w:rsidRPr="007C6E60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20мин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6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тақырыбы мен мақсаты , қойылатын сұрақтармен қысқаша таныстырып өту , оны жаздыру 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тақтадан слайдтар көрсету арқылы жаңа сабақтың тақырыбын ашу. Мақсаты оқушылардың сыни тұрғыдан ойлауын дамыту.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 көрсету арқы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жаңа сабаққа кіріспе жасау, С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 тақырыбын ашу. «Мозайка» әдісі. Оқулықпен жұмыс. Оқулықтағы мәтінді  мәтіндегі ақпаратты меңгерту. Мәтінді оқиды, қорғайды. Оқушылардың мұндағы мақсаты берілген тапсырманы өздері талқылап, өз ой-пікірлерімен санаса білу.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«Ыстық орындық»  әдісі арқылы тақырыпқа байланысты бір-біріне сұрақ қою, жауап беру. Сабақ барысында белсенділік танытқан оқушы ыстық орындыққа отырып өзге оқкшылардың сұрақтарына жауап береді.(СТО, жас ерекшелік,ДжТ, бағалау).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оқушы дәптері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Плакат, тақташа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 </w:t>
            </w:r>
          </w:p>
        </w:tc>
      </w:tr>
      <w:tr w:rsidR="00926002" w:rsidRPr="00B17620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жұпқа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парақтарын тарату, бағалау шкаласын тақтаға ілу керек.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6002" w:rsidRPr="007C6E60" w:rsidTr="00A464C8">
        <w:tc>
          <w:tcPr>
            <w:tcW w:w="10988" w:type="dxa"/>
            <w:gridSpan w:val="6"/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ақпарат: 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 Конституциясымен танысу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02" w:rsidRPr="001E02F9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– Сіз қосымша көмек көрсетуді қалай жоспарлайсыз?</w:t>
            </w:r>
          </w:p>
        </w:tc>
        <w:tc>
          <w:tcPr>
            <w:tcW w:w="6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оқушылардың үйренгенін тексеруді қалай жоспарлайсыз?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Қауіпсіздік және еңбекті қорғау </w:t>
            </w: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ережелері       АКТ-мен байланыс құндылығы байланысы</w:t>
            </w:r>
          </w:p>
        </w:tc>
      </w:tr>
      <w:tr w:rsidR="00926002" w:rsidRPr="001E02F9" w:rsidTr="00A464C8">
        <w:tc>
          <w:tcPr>
            <w:tcW w:w="2737" w:type="dxa"/>
            <w:tcBorders>
              <w:right w:val="single" w:sz="4" w:space="0" w:color="auto"/>
            </w:tcBorders>
          </w:tcPr>
          <w:p w:rsidR="00926002" w:rsidRPr="005009E8" w:rsidRDefault="00926002" w:rsidP="00A464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Оқушыларға жұптық жұмыстар ұйымдастыра отырып, тақырып туралы терең мағлұмат беруді талап етемін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002" w:rsidRPr="005009E8" w:rsidRDefault="00926002" w:rsidP="00A464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Бағалаушы бағалайды</w:t>
            </w:r>
          </w:p>
          <w:p w:rsidR="00926002" w:rsidRPr="005009E8" w:rsidRDefault="00926002" w:rsidP="00A464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–жұлдыз, 1- тілек.  (немесе балдық шкала бойынша,  дәстүрлік баға)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 Дене тәрбиесі пәні бойынша сілтемелері бар</w:t>
            </w:r>
          </w:p>
          <w:p w:rsidR="00926002" w:rsidRPr="005009E8" w:rsidRDefault="00926002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26002" w:rsidRDefault="00926002" w:rsidP="009260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26002" w:rsidRDefault="00926002" w:rsidP="009260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26002" w:rsidRDefault="00926002" w:rsidP="00926002">
      <w:pPr>
        <w:rPr>
          <w:lang w:val="kk-KZ"/>
        </w:rPr>
      </w:pPr>
    </w:p>
    <w:p w:rsidR="00926002" w:rsidRDefault="00926002" w:rsidP="00926002">
      <w:pPr>
        <w:rPr>
          <w:lang w:val="kk-KZ"/>
        </w:rPr>
      </w:pPr>
    </w:p>
    <w:p w:rsidR="00926002" w:rsidRDefault="00926002" w:rsidP="00926002">
      <w:pPr>
        <w:rPr>
          <w:lang w:val="kk-KZ"/>
        </w:rPr>
      </w:pPr>
    </w:p>
    <w:p w:rsidR="00926002" w:rsidRDefault="00926002" w:rsidP="00926002">
      <w:pPr>
        <w:rPr>
          <w:lang w:val="kk-KZ"/>
        </w:rPr>
      </w:pPr>
    </w:p>
    <w:p w:rsidR="00C91C0C" w:rsidRPr="00926002" w:rsidRDefault="00C91C0C">
      <w:pPr>
        <w:rPr>
          <w:lang w:val="kk-KZ"/>
        </w:rPr>
      </w:pPr>
    </w:p>
    <w:sectPr w:rsidR="00C91C0C" w:rsidRPr="0092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5120"/>
    <w:multiLevelType w:val="hybridMultilevel"/>
    <w:tmpl w:val="7D44F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23430"/>
    <w:multiLevelType w:val="hybridMultilevel"/>
    <w:tmpl w:val="AE1A9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80F9E"/>
    <w:multiLevelType w:val="hybridMultilevel"/>
    <w:tmpl w:val="AC44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A"/>
    <w:rsid w:val="001C798A"/>
    <w:rsid w:val="00926002"/>
    <w:rsid w:val="00C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2</cp:revision>
  <dcterms:created xsi:type="dcterms:W3CDTF">2017-12-23T17:18:00Z</dcterms:created>
  <dcterms:modified xsi:type="dcterms:W3CDTF">2017-12-23T17:19:00Z</dcterms:modified>
</cp:coreProperties>
</file>