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B" w:rsidRPr="00244119" w:rsidRDefault="0054038B" w:rsidP="0054038B">
      <w:pPr>
        <w:spacing w:before="24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44119">
        <w:rPr>
          <w:rFonts w:ascii="Arial" w:hAnsi="Arial" w:cs="Arial"/>
          <w:b/>
          <w:sz w:val="32"/>
          <w:szCs w:val="32"/>
        </w:rPr>
        <w:t>Парадигмы образования</w:t>
      </w:r>
    </w:p>
    <w:p w:rsidR="00362FF0" w:rsidRPr="000F31B3" w:rsidRDefault="000F31B3" w:rsidP="00AA7DB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authorname"/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54038B" w:rsidRPr="00BC090E" w:rsidRDefault="0054038B" w:rsidP="0054038B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 w:rsidRPr="00BC090E">
        <w:rPr>
          <w:rFonts w:ascii="Arial" w:hAnsi="Arial" w:cs="Arial"/>
          <w:b/>
          <w:sz w:val="24"/>
          <w:szCs w:val="24"/>
          <w:shd w:val="clear" w:color="auto" w:fill="FFFFFF"/>
        </w:rPr>
        <w:t>Педагогическая парадигма</w:t>
      </w:r>
      <w:r w:rsidRPr="00BC090E">
        <w:rPr>
          <w:rFonts w:ascii="Arial" w:hAnsi="Arial" w:cs="Arial"/>
          <w:sz w:val="24"/>
          <w:szCs w:val="24"/>
          <w:shd w:val="clear" w:color="auto" w:fill="FFFFFF"/>
        </w:rPr>
        <w:t xml:space="preserve"> – это</w:t>
      </w:r>
      <w:r w:rsidRPr="00BC090E">
        <w:rPr>
          <w:rFonts w:ascii="Arial" w:hAnsi="Arial" w:cs="Arial"/>
          <w:sz w:val="24"/>
          <w:szCs w:val="24"/>
        </w:rPr>
        <w:t xml:space="preserve"> совокупность теоретических, методологических и иных установок, принятых научно-педагогическим сообществом на каждом этапе развития педагогики, которыми руководствуются в качестве образца при решении педагогических проблем.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Наиболее распространены следующие парадигмы образования: знаниевая,</w:t>
      </w:r>
      <w:r>
        <w:rPr>
          <w:rFonts w:ascii="Arial" w:hAnsi="Arial" w:cs="Arial"/>
        </w:rPr>
        <w:t xml:space="preserve"> </w:t>
      </w:r>
      <w:r w:rsidRPr="00BC090E">
        <w:rPr>
          <w:rFonts w:ascii="Arial" w:hAnsi="Arial" w:cs="Arial"/>
        </w:rPr>
        <w:t>бихевиористская,</w:t>
      </w:r>
      <w:r>
        <w:rPr>
          <w:rFonts w:ascii="Arial" w:hAnsi="Arial" w:cs="Arial"/>
        </w:rPr>
        <w:t xml:space="preserve"> </w:t>
      </w:r>
      <w:r w:rsidRPr="00BC090E">
        <w:rPr>
          <w:rFonts w:ascii="Arial" w:hAnsi="Arial" w:cs="Arial"/>
        </w:rPr>
        <w:t xml:space="preserve">феноменологическая, технократическая, неинституциональная, гуманитарная, обучение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через совершение открытий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>, эзотерическая, компетентностная.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Эти парадигмы различаются своими подходами к выбору главной цели образования, пониманию роли и предназначения образования в системе общественных институтов и пр.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</w:rPr>
        <w:t>Знаниевая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Главная цель знаниевой</w:t>
      </w:r>
      <w:r>
        <w:rPr>
          <w:rFonts w:ascii="Arial" w:hAnsi="Arial" w:cs="Arial"/>
        </w:rPr>
        <w:t>,</w:t>
      </w:r>
      <w:r w:rsidRPr="00BC090E">
        <w:rPr>
          <w:rFonts w:ascii="Arial" w:hAnsi="Arial" w:cs="Arial"/>
        </w:rPr>
        <w:t xml:space="preserve"> </w:t>
      </w:r>
      <w:r w:rsidRPr="00BC090E">
        <w:rPr>
          <w:rFonts w:ascii="Arial" w:hAnsi="Arial" w:cs="Arial"/>
          <w:bCs/>
          <w:iCs/>
        </w:rPr>
        <w:t>или традиционалистск</w:t>
      </w:r>
      <w:r>
        <w:rPr>
          <w:rFonts w:ascii="Arial" w:hAnsi="Arial" w:cs="Arial"/>
          <w:bCs/>
          <w:iCs/>
        </w:rPr>
        <w:t xml:space="preserve">о-консервативной, </w:t>
      </w:r>
      <w:r w:rsidRPr="00BC090E">
        <w:rPr>
          <w:rFonts w:ascii="Arial" w:hAnsi="Arial" w:cs="Arial"/>
        </w:rPr>
        <w:t>парадигмы – передать молодому поколению существенные элементы культурного наследия человечества и его опыта. В основе этой передачи – знания, умения, навыки, нравственные идеалы и жизненные ценности. Они способствуют индивидуальному развитию, сохранению социального порядка, а также обеспечивают функциональную грамотность и социализацию учащихся.</w:t>
      </w:r>
    </w:p>
    <w:p w:rsidR="0054038B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iCs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  <w:bCs/>
          <w:iCs/>
        </w:rPr>
        <w:t>Бихевиористская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>Бихевиористская</w:t>
      </w:r>
      <w:r>
        <w:rPr>
          <w:rFonts w:ascii="Arial" w:hAnsi="Arial" w:cs="Arial"/>
          <w:bCs/>
          <w:iCs/>
        </w:rPr>
        <w:t>,</w:t>
      </w:r>
      <w:r w:rsidRPr="00BC090E">
        <w:rPr>
          <w:rFonts w:ascii="Arial" w:hAnsi="Arial" w:cs="Arial"/>
          <w:bCs/>
          <w:iCs/>
        </w:rPr>
        <w:t xml:space="preserve"> или рационалистическая</w:t>
      </w:r>
      <w:r>
        <w:rPr>
          <w:rFonts w:ascii="Arial" w:hAnsi="Arial" w:cs="Arial"/>
          <w:bCs/>
          <w:iCs/>
        </w:rPr>
        <w:t>,</w:t>
      </w:r>
      <w:r w:rsidRPr="00BC090E">
        <w:rPr>
          <w:rFonts w:ascii="Arial" w:hAnsi="Arial" w:cs="Arial"/>
          <w:bCs/>
          <w:iCs/>
        </w:rPr>
        <w:t xml:space="preserve"> </w:t>
      </w:r>
      <w:r w:rsidRPr="00BC090E">
        <w:rPr>
          <w:rFonts w:ascii="Arial" w:hAnsi="Arial" w:cs="Arial"/>
        </w:rPr>
        <w:t xml:space="preserve">парадигма базируется на концепции социальной инженерии Б. Скиннера. Согласно этой концепции цель школы – сформировать у учащихся адаптивный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поведенческий репертуар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>, который соответствует социальным нормам, требованиям и ожиданиям западной культуры. Основными методами выступают научение, тренинг, тестовый контроль, индивидуальное обучение, корректировка.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 xml:space="preserve">Главный тезис парадигмы: школа – это фабрика, для которой учащийся представляет собой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сырье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>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lastRenderedPageBreak/>
        <w:t>Недостаток как знаниевой, так и б</w:t>
      </w:r>
      <w:r w:rsidRPr="00BC090E">
        <w:rPr>
          <w:rFonts w:ascii="Arial" w:hAnsi="Arial" w:cs="Arial"/>
          <w:bCs/>
          <w:iCs/>
        </w:rPr>
        <w:t>ихевиористской</w:t>
      </w:r>
      <w:r w:rsidRPr="00BC090E">
        <w:rPr>
          <w:rFonts w:ascii="Arial" w:hAnsi="Arial" w:cs="Arial"/>
        </w:rPr>
        <w:t xml:space="preserve"> моделей обучения – слабая гуманистическая направленность. В соответствии с ними учащийся рассматривается как объект педагогического воздействия, а не как субъект жизни, свободная личность, способная к саморазвитию и самосовершенствованию.</w:t>
      </w:r>
    </w:p>
    <w:p w:rsidR="0054038B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</w:rPr>
        <w:t>Феноменологическая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 xml:space="preserve">Феноменологическая или гуманистическая парадигма </w:t>
      </w:r>
      <w:r w:rsidRPr="00BC090E">
        <w:rPr>
          <w:rFonts w:ascii="Arial" w:hAnsi="Arial" w:cs="Arial"/>
        </w:rPr>
        <w:t>рассматривает педагога и учащегося как равноправных субъектов образования. Отличительная черта – учет индивидуально-психологических особенностей учащегося, создание условий для его развития и саморазвития, предоставление ему свободы выбора для реализации природного потенциала.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>Феноменологическая</w:t>
      </w:r>
      <w:r w:rsidRPr="00BC090E">
        <w:rPr>
          <w:rFonts w:ascii="Arial" w:hAnsi="Arial" w:cs="Arial"/>
        </w:rPr>
        <w:t xml:space="preserve"> парадигма предполагает творческий поиск учащихся и педагогов. Она ориентирована на духовное развитие личности, диалог, помощь и поддержку в самообразовании и самосовершенствовании.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</w:rPr>
        <w:t>Технократическая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>Основная цель технократической парадигмы –</w:t>
      </w:r>
      <w:r w:rsidRPr="00BC090E">
        <w:rPr>
          <w:rFonts w:ascii="Arial" w:hAnsi="Arial" w:cs="Arial"/>
        </w:rPr>
        <w:t xml:space="preserve"> передача подрастающим поколениям и усвоение ими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точного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 xml:space="preserve"> научного знания, которое необходимо для дальнейшего совершенствования практики.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Знание – сила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>, поэтому ценность человека определяется его познавательными возможностями. Человек ценен не сам по себе, как уникальная индивидуальность, а лишь как специалист, носитель эталонного (стандартизированного) знания или поведения. Определенные элементы этой парадигмы присущи, к сожалению, и нашей системе инженерного образования, которая направлена на профессиональную подготовку специалиста, а не на личностное его формирование.</w:t>
      </w:r>
    </w:p>
    <w:p w:rsidR="0054038B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</w:rPr>
        <w:t>Неинституциональная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 xml:space="preserve">Неинституциональная парадигма </w:t>
      </w:r>
      <w:r w:rsidRPr="00BC090E">
        <w:rPr>
          <w:rFonts w:ascii="Arial" w:hAnsi="Arial" w:cs="Arial"/>
        </w:rPr>
        <w:t xml:space="preserve">ориентирована на организацию образования вне традиционных социальных институтов – школ и вузов. Она предполагает получение образования с помощью Интернета, в условиях так называемых </w:t>
      </w:r>
      <w:r>
        <w:rPr>
          <w:rFonts w:ascii="Arial" w:hAnsi="Arial" w:cs="Arial"/>
        </w:rPr>
        <w:t>«</w:t>
      </w:r>
      <w:r w:rsidRPr="00BC090E">
        <w:rPr>
          <w:rFonts w:ascii="Arial" w:hAnsi="Arial" w:cs="Arial"/>
        </w:rPr>
        <w:t>открытых школ</w:t>
      </w:r>
      <w:r>
        <w:rPr>
          <w:rFonts w:ascii="Arial" w:hAnsi="Arial" w:cs="Arial"/>
        </w:rPr>
        <w:t>»</w:t>
      </w:r>
      <w:r w:rsidRPr="00BC090E">
        <w:rPr>
          <w:rFonts w:ascii="Arial" w:hAnsi="Arial" w:cs="Arial"/>
        </w:rPr>
        <w:t xml:space="preserve">, дистантного обучения и пр. У такой парадигмы есть преимущества – выбор удобного времени, индивидуализация режима обучения и </w:t>
      </w:r>
      <w:r w:rsidRPr="00BC090E">
        <w:rPr>
          <w:rFonts w:ascii="Arial" w:hAnsi="Arial" w:cs="Arial"/>
        </w:rPr>
        <w:lastRenderedPageBreak/>
        <w:t>его содержания. Вместе с тем она лишает учащегося или студента главного условия успешного образования и личностного развития – непосредственного контакта с учителем или преподавателем.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BC090E">
        <w:rPr>
          <w:rFonts w:ascii="Arial" w:hAnsi="Arial" w:cs="Arial"/>
          <w:b/>
        </w:rPr>
        <w:t>Гуманитарная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В центре</w:t>
      </w:r>
      <w:r w:rsidRPr="00BC090E">
        <w:rPr>
          <w:rFonts w:ascii="Arial" w:hAnsi="Arial" w:cs="Arial"/>
          <w:bCs/>
          <w:iCs/>
        </w:rPr>
        <w:t xml:space="preserve"> гуманитарной парадигмы </w:t>
      </w:r>
      <w:r w:rsidRPr="00BC090E">
        <w:rPr>
          <w:rFonts w:ascii="Arial" w:hAnsi="Arial" w:cs="Arial"/>
        </w:rPr>
        <w:t>– не учащийся, который усваивает готовые знания, а человек, который познает истину. Но поскольку истины не существует, то важна не сама истина, а отношение к ней. Субъект-субъектные взаимодействия участников образовательной деятельности строятся на принципах сотрудничества, сотворчества, диалога, обмена мнениями и взаимной ответственности за свободный выбор своей позиции, познание мира путем обмена духовными ценностями.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iCs/>
        </w:rPr>
      </w:pPr>
      <w:r w:rsidRPr="00BC090E">
        <w:rPr>
          <w:rFonts w:ascii="Arial" w:hAnsi="Arial" w:cs="Arial"/>
          <w:b/>
          <w:bCs/>
          <w:iCs/>
        </w:rPr>
        <w:t xml:space="preserve">Парадигма обучения </w:t>
      </w:r>
      <w:r>
        <w:rPr>
          <w:rFonts w:ascii="Arial" w:hAnsi="Arial" w:cs="Arial"/>
          <w:b/>
          <w:bCs/>
          <w:iCs/>
        </w:rPr>
        <w:t>«</w:t>
      </w:r>
      <w:r w:rsidRPr="00BC090E">
        <w:rPr>
          <w:rFonts w:ascii="Arial" w:hAnsi="Arial" w:cs="Arial"/>
          <w:b/>
          <w:bCs/>
          <w:iCs/>
        </w:rPr>
        <w:t>через совершение открытий</w:t>
      </w:r>
      <w:r>
        <w:rPr>
          <w:rFonts w:ascii="Arial" w:hAnsi="Arial" w:cs="Arial"/>
          <w:b/>
          <w:bCs/>
          <w:iCs/>
        </w:rPr>
        <w:t>»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Согласно парадигме</w:t>
      </w:r>
      <w:r w:rsidRPr="00BC090E">
        <w:rPr>
          <w:rFonts w:ascii="Arial" w:hAnsi="Arial" w:cs="Arial"/>
          <w:bCs/>
          <w:iCs/>
        </w:rPr>
        <w:t xml:space="preserve"> обучения </w:t>
      </w:r>
      <w:r>
        <w:rPr>
          <w:rFonts w:ascii="Arial" w:hAnsi="Arial" w:cs="Arial"/>
          <w:bCs/>
          <w:iCs/>
        </w:rPr>
        <w:t>«</w:t>
      </w:r>
      <w:r w:rsidRPr="00BC090E">
        <w:rPr>
          <w:rFonts w:ascii="Arial" w:hAnsi="Arial" w:cs="Arial"/>
          <w:bCs/>
          <w:iCs/>
        </w:rPr>
        <w:t>через совершение открытий</w:t>
      </w:r>
      <w:r>
        <w:rPr>
          <w:rFonts w:ascii="Arial" w:hAnsi="Arial" w:cs="Arial"/>
          <w:bCs/>
          <w:iCs/>
        </w:rPr>
        <w:t>»</w:t>
      </w:r>
      <w:r w:rsidRPr="00BC090E">
        <w:rPr>
          <w:rStyle w:val="apple-converted-space"/>
          <w:rFonts w:ascii="Arial" w:hAnsi="Arial" w:cs="Arial"/>
        </w:rPr>
        <w:t xml:space="preserve"> </w:t>
      </w:r>
      <w:r w:rsidRPr="00BC090E">
        <w:rPr>
          <w:rFonts w:ascii="Arial" w:hAnsi="Arial" w:cs="Arial"/>
        </w:rPr>
        <w:t>(Д. Бруннер) учащиеся должны познавать мир, приобретать знания через собственные открытия, которые требуют напряжения всех познавательных сил и одновременно плодотворно влияют на развитие продуктивного мышления. Творческое обучение, по Бруннеру, отличается как от усвоения готовых знаний, так и от обучения путем преодоления трудностей. Здесь учащиеся на основе накопления и оценки данных по определенной проблеме формируют обобщения и выявляют закономерности, выходящие за рамки изучаемого материала.</w:t>
      </w:r>
    </w:p>
    <w:p w:rsidR="0054038B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iCs/>
        </w:rPr>
      </w:pPr>
      <w:r w:rsidRPr="00BC090E">
        <w:rPr>
          <w:rFonts w:ascii="Arial" w:hAnsi="Arial" w:cs="Arial"/>
          <w:b/>
          <w:bCs/>
          <w:iCs/>
        </w:rPr>
        <w:t>Эзотерическая парадигма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  <w:bCs/>
          <w:iCs/>
        </w:rPr>
        <w:t xml:space="preserve">Эзотерическая парадигма </w:t>
      </w:r>
      <w:r w:rsidRPr="00BC090E">
        <w:rPr>
          <w:rFonts w:ascii="Arial" w:hAnsi="Arial" w:cs="Arial"/>
        </w:rPr>
        <w:t>отражает самый высокий уровень взаимодействия человека с внешним миром. Сущность этой парадигмы состоит в отношении к истине как вечной и неизменной, которую человеку нельзя понять, но к ней можно приобщиться в состоянии особого озарения.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t>Высший смысл педагогической деятельности, по утверждению сторонников этой парадигмы, заключается в освобождении природных, сущностных сил человека для общения с космосом, для развития познавательных способностей, смыслотворчества, духовности и нравственного самосовершенствования.</w:t>
      </w:r>
    </w:p>
    <w:p w:rsidR="0054038B" w:rsidRPr="00BC090E" w:rsidRDefault="0054038B" w:rsidP="0054038B">
      <w:pPr>
        <w:pStyle w:val="aa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BC090E">
        <w:rPr>
          <w:rFonts w:ascii="Arial" w:hAnsi="Arial" w:cs="Arial"/>
        </w:rPr>
        <w:lastRenderedPageBreak/>
        <w:t>Однако эта парадигма основывается на одной сфере взаимодействия людей – ноосфере. Но для того чтобы гармонизировать отношения человека с миром и космосом, обществом и самим собой</w:t>
      </w:r>
      <w:r>
        <w:rPr>
          <w:rFonts w:ascii="Arial" w:hAnsi="Arial" w:cs="Arial"/>
        </w:rPr>
        <w:t>,</w:t>
      </w:r>
      <w:r w:rsidRPr="00BC090E">
        <w:rPr>
          <w:rFonts w:ascii="Arial" w:hAnsi="Arial" w:cs="Arial"/>
        </w:rPr>
        <w:t xml:space="preserve"> необходимо учитывать также его взаимодействи</w:t>
      </w:r>
      <w:r>
        <w:rPr>
          <w:rFonts w:ascii="Arial" w:hAnsi="Arial" w:cs="Arial"/>
        </w:rPr>
        <w:t>е</w:t>
      </w:r>
      <w:r w:rsidRPr="00BC090E">
        <w:rPr>
          <w:rFonts w:ascii="Arial" w:hAnsi="Arial" w:cs="Arial"/>
        </w:rPr>
        <w:t xml:space="preserve"> с социосферой и психосферой.</w:t>
      </w:r>
    </w:p>
    <w:p w:rsidR="00AA7DB0" w:rsidRDefault="00AA7DB0" w:rsidP="00AA7DB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A7DB0" w:rsidSect="00BD3E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36" w:rsidRDefault="00075C36" w:rsidP="008056A3">
      <w:pPr>
        <w:spacing w:after="0" w:line="240" w:lineRule="auto"/>
      </w:pPr>
      <w:r>
        <w:separator/>
      </w:r>
    </w:p>
  </w:endnote>
  <w:endnote w:type="continuationSeparator" w:id="1">
    <w:p w:rsidR="00075C36" w:rsidRDefault="00075C36" w:rsidP="0080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A3" w:rsidRDefault="008056A3" w:rsidP="008056A3">
    <w:pPr>
      <w:pStyle w:val="a6"/>
      <w:jc w:val="right"/>
    </w:pPr>
    <w:r w:rsidRPr="008056A3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36" w:rsidRDefault="00075C36" w:rsidP="008056A3">
      <w:pPr>
        <w:spacing w:after="0" w:line="240" w:lineRule="auto"/>
      </w:pPr>
      <w:r>
        <w:separator/>
      </w:r>
    </w:p>
  </w:footnote>
  <w:footnote w:type="continuationSeparator" w:id="1">
    <w:p w:rsidR="00075C36" w:rsidRDefault="00075C36" w:rsidP="0080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A3" w:rsidRPr="008056A3" w:rsidRDefault="008056A3" w:rsidP="008056A3">
    <w:pPr>
      <w:pStyle w:val="a4"/>
      <w:jc w:val="right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18"/>
    <w:multiLevelType w:val="hybridMultilevel"/>
    <w:tmpl w:val="DDACAD72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16"/>
    <w:multiLevelType w:val="hybridMultilevel"/>
    <w:tmpl w:val="68EC87DC"/>
    <w:lvl w:ilvl="0" w:tplc="9C6C53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EF0B7F"/>
    <w:multiLevelType w:val="hybridMultilevel"/>
    <w:tmpl w:val="B8226D1C"/>
    <w:lvl w:ilvl="0" w:tplc="6E74DD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8165786"/>
    <w:multiLevelType w:val="hybridMultilevel"/>
    <w:tmpl w:val="5A945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5C57"/>
    <w:multiLevelType w:val="hybridMultilevel"/>
    <w:tmpl w:val="A4BA26A6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6BB0"/>
    <w:multiLevelType w:val="hybridMultilevel"/>
    <w:tmpl w:val="C7D4B758"/>
    <w:lvl w:ilvl="0" w:tplc="72EC3C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BA97EEB"/>
    <w:multiLevelType w:val="hybridMultilevel"/>
    <w:tmpl w:val="C92AFDF8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D6F"/>
    <w:multiLevelType w:val="hybridMultilevel"/>
    <w:tmpl w:val="300CC5A6"/>
    <w:lvl w:ilvl="0" w:tplc="92AE9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712764"/>
    <w:multiLevelType w:val="hybridMultilevel"/>
    <w:tmpl w:val="74741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D704C"/>
    <w:multiLevelType w:val="hybridMultilevel"/>
    <w:tmpl w:val="E522CAC8"/>
    <w:lvl w:ilvl="0" w:tplc="FBD00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8191C42"/>
    <w:multiLevelType w:val="hybridMultilevel"/>
    <w:tmpl w:val="260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3327B"/>
    <w:multiLevelType w:val="hybridMultilevel"/>
    <w:tmpl w:val="AEF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2CF8"/>
    <w:multiLevelType w:val="hybridMultilevel"/>
    <w:tmpl w:val="D430EB44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D444B"/>
    <w:multiLevelType w:val="hybridMultilevel"/>
    <w:tmpl w:val="5DB8B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9D1F15"/>
    <w:multiLevelType w:val="hybridMultilevel"/>
    <w:tmpl w:val="97A62D72"/>
    <w:lvl w:ilvl="0" w:tplc="48508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7615E1C"/>
    <w:multiLevelType w:val="hybridMultilevel"/>
    <w:tmpl w:val="54EC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6DFF"/>
    <w:multiLevelType w:val="hybridMultilevel"/>
    <w:tmpl w:val="ECA4F86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E3977F6"/>
    <w:multiLevelType w:val="hybridMultilevel"/>
    <w:tmpl w:val="867EFB80"/>
    <w:lvl w:ilvl="0" w:tplc="63C26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834EAE"/>
    <w:multiLevelType w:val="hybridMultilevel"/>
    <w:tmpl w:val="721E485E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D01C3"/>
    <w:multiLevelType w:val="hybridMultilevel"/>
    <w:tmpl w:val="A78AEC56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627E0"/>
    <w:multiLevelType w:val="hybridMultilevel"/>
    <w:tmpl w:val="D9B8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75B"/>
    <w:multiLevelType w:val="hybridMultilevel"/>
    <w:tmpl w:val="41666A06"/>
    <w:lvl w:ilvl="0" w:tplc="9730B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116777B"/>
    <w:multiLevelType w:val="hybridMultilevel"/>
    <w:tmpl w:val="12E8C11A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0750"/>
    <w:multiLevelType w:val="hybridMultilevel"/>
    <w:tmpl w:val="71926764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E7D88"/>
    <w:multiLevelType w:val="hybridMultilevel"/>
    <w:tmpl w:val="4D7874B0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85F50"/>
    <w:multiLevelType w:val="hybridMultilevel"/>
    <w:tmpl w:val="94AE521E"/>
    <w:lvl w:ilvl="0" w:tplc="21700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37C00C6"/>
    <w:multiLevelType w:val="hybridMultilevel"/>
    <w:tmpl w:val="A4029206"/>
    <w:lvl w:ilvl="0" w:tplc="43EAD0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5974E5C"/>
    <w:multiLevelType w:val="hybridMultilevel"/>
    <w:tmpl w:val="D5CC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B5D8F"/>
    <w:multiLevelType w:val="hybridMultilevel"/>
    <w:tmpl w:val="6A466AF8"/>
    <w:lvl w:ilvl="0" w:tplc="04EC13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DFA1B25"/>
    <w:multiLevelType w:val="hybridMultilevel"/>
    <w:tmpl w:val="C02E5476"/>
    <w:lvl w:ilvl="0" w:tplc="49406E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31838E7"/>
    <w:multiLevelType w:val="hybridMultilevel"/>
    <w:tmpl w:val="56B85FE8"/>
    <w:lvl w:ilvl="0" w:tplc="6B7A99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56C75D3"/>
    <w:multiLevelType w:val="hybridMultilevel"/>
    <w:tmpl w:val="F18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115C8"/>
    <w:multiLevelType w:val="hybridMultilevel"/>
    <w:tmpl w:val="BDCA8DE8"/>
    <w:lvl w:ilvl="0" w:tplc="48CE6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A6504"/>
    <w:multiLevelType w:val="hybridMultilevel"/>
    <w:tmpl w:val="BD24A89C"/>
    <w:lvl w:ilvl="0" w:tplc="E9F02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B497459"/>
    <w:multiLevelType w:val="hybridMultilevel"/>
    <w:tmpl w:val="6122ED06"/>
    <w:lvl w:ilvl="0" w:tplc="BDE0CB2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3"/>
  </w:num>
  <w:num w:numId="5">
    <w:abstractNumId w:val="11"/>
  </w:num>
  <w:num w:numId="6">
    <w:abstractNumId w:val="32"/>
  </w:num>
  <w:num w:numId="7">
    <w:abstractNumId w:val="28"/>
  </w:num>
  <w:num w:numId="8">
    <w:abstractNumId w:val="29"/>
  </w:num>
  <w:num w:numId="9">
    <w:abstractNumId w:val="33"/>
  </w:num>
  <w:num w:numId="10">
    <w:abstractNumId w:val="1"/>
  </w:num>
  <w:num w:numId="11">
    <w:abstractNumId w:val="0"/>
  </w:num>
  <w:num w:numId="12">
    <w:abstractNumId w:val="19"/>
  </w:num>
  <w:num w:numId="13">
    <w:abstractNumId w:val="4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34"/>
  </w:num>
  <w:num w:numId="19">
    <w:abstractNumId w:val="23"/>
  </w:num>
  <w:num w:numId="20">
    <w:abstractNumId w:val="9"/>
  </w:num>
  <w:num w:numId="21">
    <w:abstractNumId w:val="16"/>
  </w:num>
  <w:num w:numId="22">
    <w:abstractNumId w:val="2"/>
  </w:num>
  <w:num w:numId="23">
    <w:abstractNumId w:val="31"/>
  </w:num>
  <w:num w:numId="24">
    <w:abstractNumId w:val="12"/>
  </w:num>
  <w:num w:numId="25">
    <w:abstractNumId w:val="20"/>
  </w:num>
  <w:num w:numId="26">
    <w:abstractNumId w:val="3"/>
  </w:num>
  <w:num w:numId="27">
    <w:abstractNumId w:val="17"/>
  </w:num>
  <w:num w:numId="28">
    <w:abstractNumId w:val="7"/>
  </w:num>
  <w:num w:numId="29">
    <w:abstractNumId w:val="10"/>
  </w:num>
  <w:num w:numId="30">
    <w:abstractNumId w:val="8"/>
  </w:num>
  <w:num w:numId="31">
    <w:abstractNumId w:val="5"/>
  </w:num>
  <w:num w:numId="32">
    <w:abstractNumId w:val="26"/>
  </w:num>
  <w:num w:numId="33">
    <w:abstractNumId w:val="25"/>
  </w:num>
  <w:num w:numId="34">
    <w:abstractNumId w:val="14"/>
  </w:num>
  <w:num w:numId="35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A3"/>
    <w:rsid w:val="00000169"/>
    <w:rsid w:val="00041037"/>
    <w:rsid w:val="0004447F"/>
    <w:rsid w:val="00060EBC"/>
    <w:rsid w:val="00066623"/>
    <w:rsid w:val="00075C36"/>
    <w:rsid w:val="000B1889"/>
    <w:rsid w:val="000F31B3"/>
    <w:rsid w:val="00154025"/>
    <w:rsid w:val="0015468C"/>
    <w:rsid w:val="001959AF"/>
    <w:rsid w:val="001A1FAF"/>
    <w:rsid w:val="0020593A"/>
    <w:rsid w:val="00244119"/>
    <w:rsid w:val="0028358F"/>
    <w:rsid w:val="00295742"/>
    <w:rsid w:val="002C35EE"/>
    <w:rsid w:val="002D06DD"/>
    <w:rsid w:val="002F1B47"/>
    <w:rsid w:val="00306760"/>
    <w:rsid w:val="00362FF0"/>
    <w:rsid w:val="00381672"/>
    <w:rsid w:val="003E3CEB"/>
    <w:rsid w:val="00434FA3"/>
    <w:rsid w:val="0048709B"/>
    <w:rsid w:val="00505FAE"/>
    <w:rsid w:val="0054038B"/>
    <w:rsid w:val="005678E3"/>
    <w:rsid w:val="00575940"/>
    <w:rsid w:val="00580128"/>
    <w:rsid w:val="005B5CB0"/>
    <w:rsid w:val="005F32CA"/>
    <w:rsid w:val="006633F4"/>
    <w:rsid w:val="006A1D5B"/>
    <w:rsid w:val="006F2E14"/>
    <w:rsid w:val="00716538"/>
    <w:rsid w:val="00731E70"/>
    <w:rsid w:val="007378FB"/>
    <w:rsid w:val="007926FE"/>
    <w:rsid w:val="007C1BCE"/>
    <w:rsid w:val="007C7A50"/>
    <w:rsid w:val="008056A3"/>
    <w:rsid w:val="00850F7B"/>
    <w:rsid w:val="00852B85"/>
    <w:rsid w:val="00895360"/>
    <w:rsid w:val="008A257D"/>
    <w:rsid w:val="008E375A"/>
    <w:rsid w:val="00921E9F"/>
    <w:rsid w:val="009461EB"/>
    <w:rsid w:val="0097057D"/>
    <w:rsid w:val="00977A43"/>
    <w:rsid w:val="00997470"/>
    <w:rsid w:val="009D01E6"/>
    <w:rsid w:val="00A2264B"/>
    <w:rsid w:val="00A570B8"/>
    <w:rsid w:val="00A70DE0"/>
    <w:rsid w:val="00AA7DB0"/>
    <w:rsid w:val="00AC59F8"/>
    <w:rsid w:val="00BD3E7C"/>
    <w:rsid w:val="00BD72CA"/>
    <w:rsid w:val="00BD7547"/>
    <w:rsid w:val="00BE7F55"/>
    <w:rsid w:val="00C31C43"/>
    <w:rsid w:val="00C9574C"/>
    <w:rsid w:val="00CD478C"/>
    <w:rsid w:val="00CF7237"/>
    <w:rsid w:val="00D26B30"/>
    <w:rsid w:val="00D467EC"/>
    <w:rsid w:val="00EC3856"/>
    <w:rsid w:val="00ED5F52"/>
    <w:rsid w:val="00EF285B"/>
    <w:rsid w:val="00F0631B"/>
    <w:rsid w:val="00F13217"/>
    <w:rsid w:val="00F277FD"/>
    <w:rsid w:val="00F62287"/>
    <w:rsid w:val="00FC21C4"/>
    <w:rsid w:val="00F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62FF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FF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A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0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6A3"/>
  </w:style>
  <w:style w:type="paragraph" w:styleId="a6">
    <w:name w:val="footer"/>
    <w:basedOn w:val="a"/>
    <w:link w:val="a7"/>
    <w:uiPriority w:val="99"/>
    <w:semiHidden/>
    <w:unhideWhenUsed/>
    <w:rsid w:val="0080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6A3"/>
  </w:style>
  <w:style w:type="paragraph" w:styleId="a8">
    <w:name w:val="Balloon Text"/>
    <w:basedOn w:val="a"/>
    <w:link w:val="a9"/>
    <w:uiPriority w:val="99"/>
    <w:semiHidden/>
    <w:unhideWhenUsed/>
    <w:rsid w:val="0080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A3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BD72CA"/>
  </w:style>
  <w:style w:type="character" w:customStyle="1" w:styleId="authorprops">
    <w:name w:val="author__props"/>
    <w:basedOn w:val="a0"/>
    <w:rsid w:val="00BD72CA"/>
  </w:style>
  <w:style w:type="character" w:customStyle="1" w:styleId="10">
    <w:name w:val="Заголовок 1 Знак"/>
    <w:basedOn w:val="a0"/>
    <w:link w:val="1"/>
    <w:uiPriority w:val="9"/>
    <w:rsid w:val="00362FF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FF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362FF0"/>
    <w:rPr>
      <w:rFonts w:ascii="Helvetica" w:hAnsi="Helvetica" w:cs="Helvetica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362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2FF0"/>
    <w:rPr>
      <w:rFonts w:cs="Times New Roman"/>
      <w:color w:val="0000FF"/>
      <w:u w:val="single"/>
    </w:rPr>
  </w:style>
  <w:style w:type="character" w:customStyle="1" w:styleId="incut-head-sub">
    <w:name w:val="incut-head-sub"/>
    <w:basedOn w:val="a0"/>
    <w:rsid w:val="00362FF0"/>
    <w:rPr>
      <w:rFonts w:cs="Times New Roman"/>
    </w:rPr>
  </w:style>
  <w:style w:type="character" w:styleId="ac">
    <w:name w:val="Strong"/>
    <w:basedOn w:val="a0"/>
    <w:uiPriority w:val="22"/>
    <w:qFormat/>
    <w:rsid w:val="00362FF0"/>
    <w:rPr>
      <w:rFonts w:cs="Times New Roman"/>
      <w:b/>
      <w:bCs/>
    </w:rPr>
  </w:style>
  <w:style w:type="character" w:customStyle="1" w:styleId="auto-matches">
    <w:name w:val="auto-matches"/>
    <w:basedOn w:val="a0"/>
    <w:rsid w:val="00362FF0"/>
    <w:rPr>
      <w:rFonts w:cs="Times New Roman"/>
    </w:rPr>
  </w:style>
  <w:style w:type="table" w:styleId="ad">
    <w:name w:val="Table Grid"/>
    <w:basedOn w:val="a1"/>
    <w:uiPriority w:val="59"/>
    <w:rsid w:val="00362F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2FF0"/>
    <w:rPr>
      <w:rFonts w:cs="Times New Roman"/>
    </w:rPr>
  </w:style>
  <w:style w:type="character" w:customStyle="1" w:styleId="blk">
    <w:name w:val="blk"/>
    <w:basedOn w:val="a0"/>
    <w:rsid w:val="00362FF0"/>
    <w:rPr>
      <w:rFonts w:cs="Times New Roman"/>
    </w:rPr>
  </w:style>
  <w:style w:type="character" w:customStyle="1" w:styleId="nobr">
    <w:name w:val="nobr"/>
    <w:basedOn w:val="a0"/>
    <w:rsid w:val="00362FF0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362FF0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36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2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70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F063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6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F0631B"/>
    <w:rPr>
      <w:vertAlign w:val="superscript"/>
    </w:rPr>
  </w:style>
  <w:style w:type="character" w:customStyle="1" w:styleId="af4">
    <w:name w:val="Основной текст_"/>
    <w:link w:val="16"/>
    <w:rsid w:val="0029574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295742"/>
    <w:pPr>
      <w:shd w:val="clear" w:color="auto" w:fill="FFFFFF"/>
      <w:spacing w:before="2640"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w">
    <w:name w:val="w"/>
    <w:basedOn w:val="a0"/>
    <w:uiPriority w:val="99"/>
    <w:rsid w:val="0028358F"/>
    <w:rPr>
      <w:rFonts w:eastAsia="SimSun" w:cs="Times New Roman"/>
      <w:sz w:val="20"/>
      <w:szCs w:val="20"/>
      <w:lang w:eastAsia="zh-CN" w:bidi="hi-IN"/>
    </w:rPr>
  </w:style>
  <w:style w:type="character" w:customStyle="1" w:styleId="reference-text">
    <w:name w:val="reference-text"/>
    <w:basedOn w:val="a0"/>
    <w:rsid w:val="00AA7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Потзователь</cp:lastModifiedBy>
  <cp:revision>5</cp:revision>
  <cp:lastPrinted>2017-06-15T12:36:00Z</cp:lastPrinted>
  <dcterms:created xsi:type="dcterms:W3CDTF">2018-03-16T15:35:00Z</dcterms:created>
  <dcterms:modified xsi:type="dcterms:W3CDTF">2020-02-04T10:00:00Z</dcterms:modified>
</cp:coreProperties>
</file>