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</w:pPr>
      <w:bookmarkStart w:id="0" w:name="__DdeLink__38_766106068"/>
      <w:bookmarkEnd w:id="0"/>
      <w:r>
        <w:rPr>
          <w:rFonts w:ascii="Times New Roman" w:hAnsi="Times New Roman"/>
          <w:b/>
          <w:bCs/>
          <w:sz w:val="24"/>
          <w:szCs w:val="24"/>
        </w:rPr>
        <w:t>Применение метода проектов в преподавании информатики.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Применение метода проектов на уроках информатики продиктовано особенностью предмета. В кабинетах информатики всегда присутствуют компьютеры, и выполнение практических заданий на компьютере становится неотъемлемой частью урока.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пространстве. Это, с одной стороны, совокупность приемов, операций овладения определенной областью практического или теоретического знания, той или иной деятельности. С другой стороны это - способ организации процесса познания. Поэтому, если мы говорим о методе проектов, то имеем в виду именно способ достижения дидактической цели через детальную разработку проблемы (технологию), которая должна завершиться практическим результатом, оформленным тем или иным образом. Этот результат можно увидеть, осмыслить, применить в реальной практической деятельности. Чтобы добиться такого результата, необходимо научить детей самостоятельно мыслить, привлекая для этой цели знания из разных областей, способность прогнозировать результаты и возможные последствия разных вариантов решения, умения устанавливать причинно-следственные связи. 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 Этот метод органично сочетается с групповым подходом к обучению. Метод проектов всегда предполагает решение какой-то проблемы. Решение многих задач на уроках информатики трудно назвать проблемными. Учащиеся, выполняя проекты на уроках информатики, решают не проблему, а выполняют определенные алгоритмы действий, упражнения. Получается, что задача одна (допустим, выполнение рисунка), а варианты ее решения зависят от особенностей мышления, видения мира, степени информационной компетентности учащихся, использования совокупности разнообразных методов и средств обучения, интегрирования знаний и умений из различных сфер науки, техники, технологии, творческих областей. Именно поэтому на уроках информатики полезно вводить элементы проектной деятельности. Не привычное решение задач, а выполнение творческих проектов, где оформление, способ реализации зависят от ученика и его возможностей.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Начальной ступенью применения метода проектов является создание проблемных ситуаций на уроках.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Проблемная ситуация - это ситуация интеллектуального затруднения, когда для решения поставленной задачи учащемуся не хватает имеющихся знаний Проблемная ситуация - это мостик от имеющихся знаний к новым. </w:t>
      </w:r>
      <w:r/>
    </w:p>
    <w:p>
      <w:pPr>
        <w:pStyle w:val="Normal"/>
        <w:ind w:left="0" w:right="0" w:firstLine="567"/>
        <w:jc w:val="both"/>
      </w:pPr>
      <w:r>
        <w:rPr>
          <w:rFonts w:ascii="Times New Roman" w:hAnsi="Times New Roman"/>
          <w:sz w:val="24"/>
          <w:szCs w:val="24"/>
        </w:rPr>
        <w:t>Выбор тематики проектной деятельности учащихся может быть различным. В одних случаях тематика проектов, особенно предназначенных для внеурочной деятельности, может быть предложена и самими учащимися, которые, естественно, ориентируются при этом на собственные интересы, не только чисто познавательные, но и творческие, прикладные. В других — учителя определяют тематику с учетом учебной ситуации по своему предмету, естественных профессиональных интересов, интересов и способностей учащихся. Пример такого проекта описан далее.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изучении темы “Основы логики и логические основы компьютера” в школьном курсе информатики большинство имеющихся учебных пособий по информатике [2], [3] не предлагают практических заданий, которые были бы интересны учащимся 10 класса. В связи с этим возникает проблема отрыва теоретических знаний от практики. Учащиеся не понимают, для чего и почему изучаются логические функции, принципы работы логических схем. Для решения проблемы практического применения основ алгебры логики учащимся предлагается выполнить индивидуальные проекты по следующим темам: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Решение текстовых логических задач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Создание теста “Как выбрать профессию”?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Создание теста по истории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Создание теста “Глаголы английского языка”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Создание тестов по информатике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Создание наглядного пособия “Логические основы работы компьютера”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Условие выполнения первых четырех проектов: проекты выполняются с помощью электронных таблиц Microsoft Excel, с использованием логической функции ЕСЛИ(). Создание тестов с помощью логической функции ЕСЛИ(), защита тестов, очистка ячеек ответов с помощью макросов достаточно подробно описана в литературе [4]. Тематика тестов может быть выбрана самими учащимися, возможно, предложена учителем. 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Отдельно следует сказать о необходимости организации внешней оценки и самооценки всех проектов, поскольку таким образом можно отслеживать их эффективность, сбои, недостатки и своевременную коррекцию. Представленные проекты учащиеся выполняют два-три урока, итогом проектной деятельности является урок-презентация проектов по теме “Применение основ алгебры логики”. На таком уроке учащиеся рассказывают об этапах разработки проекта, реализации его, достоинствах и недостатках, а также области применения. Проекты требуют внешней оценки, поэтому перед презентацией проектов ученикам предлагается Лист оценки проектов (таблица 1), в котором, согласно выработанным совместно с учащимися, критериям оцениваются проекты.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 1. Лист оценки проектов.</w:t>
      </w:r>
      <w:r/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2224"/>
        <w:gridCol w:w="2096"/>
        <w:gridCol w:w="1814"/>
        <w:gridCol w:w="1834"/>
        <w:gridCol w:w="1230"/>
      </w:tblGrid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/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  <w:r/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значимость проекта</w:t>
            </w:r>
            <w:r/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Оформле-ние проекта</w:t>
            </w:r>
            <w:r/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Презента-ция проекта</w:t>
            </w:r>
            <w:r/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 (в бал.)</w:t>
            </w:r>
            <w:r/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задачи1</w:t>
            </w:r>
            <w:r/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задачи2</w:t>
            </w:r>
            <w:r/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“Глаголы английского языка”</w:t>
            </w:r>
            <w:r/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“Выбор профессии”</w:t>
            </w:r>
            <w:r/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“Основы безопасности при работе с ПК”</w:t>
            </w:r>
            <w:r/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/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истории</w:t>
            </w:r>
            <w:r/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“Информация”</w:t>
            </w:r>
            <w:r/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/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Логическая схема устройства ПК</w:t>
            </w:r>
            <w:r/>
          </w:p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Триггер – элементарная единица памяти”.</w:t>
            </w:r>
            <w:r/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/>
          </w:p>
        </w:tc>
      </w:tr>
    </w:tbl>
    <w:p>
      <w:pPr>
        <w:pStyle w:val="Normal"/>
        <w:numPr>
          <w:ilvl w:val="0"/>
          <w:numId w:val="3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Практическая значимость проекта (от 1 до 3 баллов) означает, может ли проект быть применен в дальнейшем, на уроках в других классах и на других предметах, чем больше сфера применения – тем больше баллов.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Оформление проекта (от 1 до 5 баллов) – удобен ли интерфейс проекта для пользователя, есть ли инструкции к использованию проекта; предусмотрена ли защита оценок от несанкционированного доступа;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Презентация проекта (от 1 до 5 баллов) – здесь оценивается выступление авторов: насколько полно и доступно представлен проект, изложены цели, область применения, этапы выполнения проекта; соблюден регламент выступления: не более 5-7 минут.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Общая оценка в баллах: (сумма баллов) до 8 – оценка “удовлетворительно”, от 8 до 11 – оценка “хорошо”, 12-13 баллов - оценка “отлично”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Метод проектов находит все большее распространение в системах образования разных стран мира. Причин тому несколько, и корни их лежат не только в сфере собственно педагогики, но, главным образом, в сфере социальной:</w:t>
      </w:r>
      <w:r/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необходимость не столько передавать ученикам сумму тех или иных знаний, сколько научить приобретать эти знания самостоятельно, уметь пользоваться приобретенными знаниями для решения новых познавательных и практических задач;</w:t>
      </w:r>
      <w:r/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актуальность приобретения коммуникативных навыков и умений, т.е. умений работать в разнообразных группах, исполняя разные социальные роли (лидера, исполнителя, посредника и пр.);</w:t>
      </w:r>
      <w:r/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актуальность широких человеческих контактов, знакомства с разными культурами, разными точками зрения на одну проблему;</w:t>
      </w:r>
      <w:r/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значимость для развития человека умения пользоваться исследовательскими методами: собирать необходимую информацию, факты, уметь их анализировать с разных точек зрения, выдвигать гипотезы, делать выводы и заключения.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Наукой доказано, что 80% информации, которую слышит ученик на уроке, забывается в тот же день, если ученик самостоятельно над ней не поработал (повторил, проговорил, записал), 20% сохраняется в памяти несколько дольше, в зависимости от уровня ее актуальности для обучаемого. Поэтому применение проектной деятельности на уроках позволяет учащимся полноценно осмыслить и усвоить учебный материал, формирует самостоятельность и инициативность школьников. Для развития индивидуальных склонностей и способностей и чтобы ученик не остался “вещью в себе” метод проектов является одним из лучших способов познания обучаемого и самопознания. Если выпускник школы приобретает указанные выше навыки и умения, он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коллективах.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Литература</w:t>
      </w:r>
      <w:r/>
    </w:p>
    <w:p>
      <w:pPr>
        <w:pStyle w:val="Normal"/>
        <w:numPr>
          <w:ilvl w:val="0"/>
          <w:numId w:val="5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Полат Е.С., Бухаркина М.Ю. и др. Новые педагогические и информационные технологии в системе образования: Учебн. пособие – М.: 2001. .</w:t>
      </w:r>
      <w:r/>
    </w:p>
    <w:p>
      <w:pPr>
        <w:pStyle w:val="Normal"/>
        <w:numPr>
          <w:ilvl w:val="0"/>
          <w:numId w:val="5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Угринович Н.Д. Информатика и информационные технологии. 10-11. Учебник для 10-11 классов. – М.: БИНОМ, 2003.</w:t>
      </w:r>
      <w:r/>
    </w:p>
    <w:p>
      <w:pPr>
        <w:pStyle w:val="Normal"/>
        <w:numPr>
          <w:ilvl w:val="0"/>
          <w:numId w:val="5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Угринович Н.Д. и др. Практикум по информатике и информационным технологиям. Учебное пособие. – М.: БИНОМ, 2003.</w:t>
      </w:r>
      <w:r/>
    </w:p>
    <w:p>
      <w:pPr>
        <w:pStyle w:val="Normal"/>
        <w:numPr>
          <w:ilvl w:val="0"/>
          <w:numId w:val="5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Медведев Л.Н. Методика разработки тестов в электронной таблице Microsoft Excel / Информатика, № 7, стр.37-38, № 8, стр. 39-41, 2005.</w:t>
      </w:r>
      <w:r/>
    </w:p>
    <w:p>
      <w:pPr>
        <w:pStyle w:val="Normal"/>
        <w:numPr>
          <w:ilvl w:val="0"/>
          <w:numId w:val="5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Тесты для всех. /Сост. Орлова Т.В.-2 изд. – К.: “Довира”, 1994.</w:t>
      </w:r>
      <w:r/>
    </w:p>
    <w:p>
      <w:pPr>
        <w:pStyle w:val="Normal"/>
        <w:numPr>
          <w:ilvl w:val="0"/>
          <w:numId w:val="5"/>
        </w:numPr>
        <w:tabs>
          <w:tab w:val="left" w:pos="0" w:leader="none"/>
        </w:tabs>
        <w:ind w:left="707" w:right="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Богомолова О.Б. Логические задачи. М.: БИНОМ, 2005.</w:t>
      </w:r>
      <w:r/>
    </w:p>
    <w:p>
      <w:pPr>
        <w:pStyle w:val="Normal"/>
        <w:ind w:left="0" w:right="0" w:firstLine="56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next w:val="Style15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Style11">
    <w:name w:val="Маркеры списка"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имвол нумерации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pPr>
      <w:spacing w:before="0" w:after="283"/>
      <w:ind w:left="567" w:right="567" w:hanging="0"/>
    </w:pPr>
    <w:rPr/>
  </w:style>
  <w:style w:type="paragraph" w:styleId="Style22">
    <w:name w:val="Заглавие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3">
    <w:name w:val="Подзаголовок"/>
    <w:basedOn w:val="Style14"/>
    <w:next w:val="Style15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636</TotalTime>
  <Application>LibreOffice/4.3.4.1$Windows_x86 LibreOffice_project/bc356b2f991740509f321d70e4512a6a54c5f243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2017-12-24T18:43:10Z</dcterms:created>
  <dc:language>ru-RU</dc:language>
  <dcterms:modified xsi:type="dcterms:W3CDTF">2017-12-24T18:53:46Z</dcterms:modified>
  <cp:revision>1</cp:revision>
</cp:coreProperties>
</file>