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683E81" w:rsidRDefault="00683E81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ГУ «Общеобразовательная школа №1»</w:t>
      </w: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Методическое объединение учителей естественно-математического цикла</w:t>
      </w: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683E81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39.2pt;height:218.3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weight:bold;font-style:italic;v-text-kern:t" trim="t" fitpath="t" string="&quot;Реализация&#10; компетентностного подхода&#10;в обучении математике&quot;"/>
          </v:shape>
        </w:pict>
      </w: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683E81" w:rsidP="00683E81">
      <w:pPr>
        <w:shd w:val="clear" w:color="auto" w:fill="FFFFFF"/>
        <w:tabs>
          <w:tab w:val="left" w:pos="97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683E81">
        <w:rPr>
          <w:rFonts w:ascii="Times New Roman" w:eastAsia="Times New Roman" w:hAnsi="Times New Roman" w:cs="Times New Roman"/>
          <w:b/>
          <w:bCs/>
          <w:i/>
          <w:color w:val="363636"/>
          <w:sz w:val="28"/>
          <w:szCs w:val="28"/>
          <w:lang w:eastAsia="ru-RU"/>
        </w:rPr>
        <w:t xml:space="preserve">                                                             Подгот</w:t>
      </w:r>
      <w:r w:rsidRPr="00683E81">
        <w:rPr>
          <w:rFonts w:ascii="Times New Roman" w:eastAsia="Times New Roman" w:hAnsi="Times New Roman" w:cs="Times New Roman"/>
          <w:b/>
          <w:bCs/>
          <w:i/>
          <w:color w:val="363636"/>
          <w:sz w:val="28"/>
          <w:szCs w:val="28"/>
          <w:lang w:eastAsia="ru-RU"/>
        </w:rPr>
        <w:t>о</w:t>
      </w:r>
      <w:r w:rsidRPr="00683E81">
        <w:rPr>
          <w:rFonts w:ascii="Times New Roman" w:eastAsia="Times New Roman" w:hAnsi="Times New Roman" w:cs="Times New Roman"/>
          <w:b/>
          <w:bCs/>
          <w:i/>
          <w:color w:val="363636"/>
          <w:sz w:val="28"/>
          <w:szCs w:val="28"/>
          <w:lang w:eastAsia="ru-RU"/>
        </w:rPr>
        <w:t>вила и выступила: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 Коряка Н.В., </w:t>
      </w:r>
    </w:p>
    <w:p w:rsidR="00683E81" w:rsidRPr="00683E81" w:rsidRDefault="00683E81" w:rsidP="00683E81">
      <w:pPr>
        <w:shd w:val="clear" w:color="auto" w:fill="FFFFFF"/>
        <w:tabs>
          <w:tab w:val="left" w:pos="97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63636"/>
          <w:sz w:val="16"/>
          <w:szCs w:val="16"/>
          <w:lang w:eastAsia="ru-RU"/>
        </w:rPr>
      </w:pPr>
    </w:p>
    <w:p w:rsidR="00E57F85" w:rsidRDefault="00683E81" w:rsidP="00683E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ab/>
        <w:t xml:space="preserve">учитель математики </w:t>
      </w: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361D8B" w:rsidRDefault="00361D8B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683E81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Сарань - 2015</w:t>
      </w: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E57F85" w:rsidRPr="00E57F85" w:rsidRDefault="00E57F85" w:rsidP="00EF4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10"/>
          <w:szCs w:val="10"/>
          <w:lang w:eastAsia="ru-RU"/>
        </w:rPr>
      </w:pPr>
    </w:p>
    <w:p w:rsidR="00EF4EB3" w:rsidRPr="00EF4EB3" w:rsidRDefault="00EF4EB3" w:rsidP="00683E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Школьное образование в современных условиях призвано обеспечить функциональную грамо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ность и социальную адаптацию обучающихся на основе приобретения ими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компетентностного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опыта в сфере уч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ния, познания, профессионально-трудового выбора, личностного развития, ценностных ориентаций и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смы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лотворчества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Это предопределяет направленность целей обучения математике на формирование комп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тентной личности, способной к жизнедеятельности и самоопределению в информационном общес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ве, ясно представляющей свои потенциальные возможности и способы реализации выбранного жизненн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 пути.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Молодому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эффективным,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конкурентносп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собным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работником. Он должен быть творческим, самостоятельным, ответственным, коммуникабел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ь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ным человеком, способным решать проблемы личные и коллектива. Ему должна быть присуща потре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ность к познанию нового, умение находить и отбирать нужную информацию.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Все эти качества можно успешно формировать, используя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компетентностный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подход в обучении м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тематике, что является одним из личностных и социальных смыслов образования. В настоящее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hyperlink r:id="rId5" w:history="1">
        <w:r w:rsidRPr="00E57F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</w:t>
        </w:r>
        <w:r w:rsidRPr="00E57F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Pr="00E57F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</w:t>
        </w:r>
      </w:hyperlink>
      <w:r w:rsidRPr="00E57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новным результатом образования является не столько набор знаний, умений и навыков учащегося, сколько выработанная в ходе обучения способность к анализу и дальнейшему разрешению проблемы в сл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жившихся условиях, в ходе чего и привлекается запас имеющихся знаний и умений из различных предме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ных областей. Новый результат образования, которым должны обладать учащиеся, получил название «ко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петентность».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Понятие «компетентность» шире знаний, умений и навыков, не является их суммой, так как включ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ет в себя все стороны деятельности: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знаниевую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операционно-технологическую, ценностно-мотивационную.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Компетенция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 это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готовность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(способность) ученика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использовать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усвоенные знания, учебные умения и навыки, а также способы деятельности в жизни для решения практических и теоретических з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дач.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связи с практической ориентированностью современного образования основным результатом де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тельности образовательного учреждения должна стать не система знаний, умений и навыков сама по себе, а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набор ключевых компетентностей: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ценностно-смысловая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– готовность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вий и поступков, принимать решения;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общекультурная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осведомленность обучающегося в особенностях национальной и общечеловеч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ской культуры, духовно-нравственных основах жизни человека и человечества, отдельных народов, культ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рологических основах семейных, социальных, общественных явлениях и традициях, роли науки и рел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гии в жизни человека, их влиянии на мир, эффективных способах организации свободного времени;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 учебно-познавательная -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готовность обучающегося к самостоятельной познавательной деятельн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сти: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целеполаганию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планированию, анализу, рефлексии, самооценке учебно-познавательной деятельности, ум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нию отличать факты от </w:t>
      </w:r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домыслов</w:t>
      </w:r>
      <w:proofErr w:type="gram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владению измерительными навыками, использованию вероя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ностных, статистических и иных методов познания;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информационная -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готовность </w:t>
      </w:r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обучающегося</w:t>
      </w:r>
      <w:proofErr w:type="gram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самостоятельно работать с информацией различных 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точников, искать, анализировать и отбирать необходимую информацию, организовывать, преобразов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ы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вать, сохранять и передавать ее;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5.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proofErr w:type="gramStart"/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коммуникативная</w:t>
      </w:r>
      <w:proofErr w:type="gramEnd"/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включает знание необходимых языков, способов взаимодействия с окружа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щими и удаленными людьми и событиями, предусматривает навыки работы в группе, владение различными сп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циальными ролями в коллективе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.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Обучающийся должен уметь представить себя, написать письмо, анкету, заявление, задать вопрос, вести дискуссию и т. д.;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6.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социально-трудовая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владение знаниями и опытом в гражданско-общественной деятельности (в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ы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полнение роли гражданина, наблюдателя, избирателя, представителя), в социально-трудовой сфере (права потребителя, покупателя, клиента, производителя), в области семейных отношений и обязанностей, в в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просах экономики и права, в профессиональном самоопределении;</w:t>
      </w:r>
      <w:proofErr w:type="gramEnd"/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7.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личностная (самосовершенствование)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готовность осуществлять физическое, духовное и интелле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туальное саморазвитие, эмоциональную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саморегуляцию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самоподдержку</w:t>
      </w:r>
      <w:proofErr w:type="spellEnd"/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.</w:t>
      </w:r>
      <w:proofErr w:type="gramEnd"/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Помимо ключевых компетенций, общих для всех предметных областей, выделяются и </w:t>
      </w:r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предметные</w:t>
      </w:r>
      <w:proofErr w:type="gram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Математическая компетенция — это способность структурировать данные (ситуацию), вычленять м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тематические отношения, создавать математическую модель ситуации, анализировать и преобразов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ы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вать ее, интерпретировать полученные результаты. Иными словами, математическая компетенция учащегося сп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собствует адекватному применению математики для решения возникающих в повседневной жизни проблем.</w:t>
      </w:r>
      <w:r w:rsid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Математическую компетентность разделили на три уровня: «воспроизведение», «связи», «ра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мышления».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Первый уровень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(уровень воспроизведения) — это прямое применение в знакомой ситуации извес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ных фактов, стандартных приемов, распознавание математических объектов и свойств, выполнение стандар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ных 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процедур, применение известных алгоритмов и технических навыков, работа со стандартными, зн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комыми выражениями и формулами, непосредственное выполнение вычислений.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Второй уровень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(уровень установления связей) строится на репродуктивной деятельности по решению задач, которые, хотя и не являются типичными, но все же знакомы учащимся или выходят за рамки извес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ного лишь в очень малой степени. Содержание задачи подсказывает, </w:t>
      </w:r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материал</w:t>
      </w:r>
      <w:proofErr w:type="gram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какого раздела матем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тики надо использовать и какие известные методы применить. Обычно в этих задачах присутствует больше тр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бований к интерпретации решения, они предполагают установление связей между разными представлени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 ситуации, описанной в задаче, или установление связей между данными в условии задач.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Третий уровень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(уровень рассуждений) строится как развитие предыдущего уровня. Для решения з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дач этого уровня требуются определенная интуиция, размышления и творчество в выборе математического 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струментария, интегрирование знаний из разных разделов курса математики, самостоятельная разр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ботка алгоритма действий. Задания, как правило, включают больше данных, от учащихся часто тр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буется найти закономерность, провести обобщение и объяснить или обосновать полученные результаты.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Компетентностный</w:t>
      </w:r>
      <w:proofErr w:type="spellEnd"/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подход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– это подход, акцентирующий внимание на результате образования, пр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чём в качестве результата рассматривается не сумма усвоенной информации, а способность человека дейс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вовать в различных проблемных ситуациях. Набор ситуаций зависит от специфики образовательного учр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ждения.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Компетентностный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подход в обучении математике предполагает освоение учащимися различного рода умений, позволяющих им в будущем действовать эффективно в ситуациях профессиональной, личной и общественной жизни.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Отличие </w:t>
      </w:r>
      <w:proofErr w:type="spellStart"/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компетентностного</w:t>
      </w:r>
      <w:proofErr w:type="spellEnd"/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подхода </w:t>
      </w:r>
      <w:proofErr w:type="gramStart"/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от</w:t>
      </w:r>
      <w:proofErr w:type="gramEnd"/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классического  </w:t>
      </w:r>
    </w:p>
    <w:p w:rsidR="00EF4EB3" w:rsidRPr="00EF4EB3" w:rsidRDefault="00EF4EB3" w:rsidP="00683E8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Формирует у учащихся не только теоретическое мышление, но и практическое, направленное на преобразование действий.</w:t>
      </w:r>
    </w:p>
    <w:p w:rsidR="00EF4EB3" w:rsidRPr="00EF4EB3" w:rsidRDefault="00EF4EB3" w:rsidP="00683E8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Ориентирован</w:t>
      </w:r>
      <w:proofErr w:type="gram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 практическое действие, решение реальных задач: проблемные ситуации, практик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мы, презентации, эксперименты, …</w:t>
      </w:r>
    </w:p>
    <w:p w:rsidR="00EF4EB3" w:rsidRPr="00EF4EB3" w:rsidRDefault="00EF4EB3" w:rsidP="00683E8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 организации обучения учитель выступает в роли консультанта.</w:t>
      </w:r>
    </w:p>
    <w:p w:rsidR="00EF4EB3" w:rsidRPr="00EF4EB3" w:rsidRDefault="00EF4EB3" w:rsidP="00683E8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Ученик активен, осознаёт, что от его труда зависит результат обучения.</w:t>
      </w:r>
    </w:p>
    <w:p w:rsidR="00EF4EB3" w:rsidRPr="00EF4EB3" w:rsidRDefault="00EF4EB3" w:rsidP="00683E8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Усиливается роль самооценки и экспертной оценки.</w:t>
      </w:r>
    </w:p>
    <w:p w:rsidR="00EF4EB3" w:rsidRPr="00EF4EB3" w:rsidRDefault="00EF4EB3" w:rsidP="00683E8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Многоуровневый контроль при оценке результатов (умение применять знания в новой 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туации).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 реализации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компетентностного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подхода особое внимание нужно уделять    использованию прио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ретенных знаний и умений в практической и повседневной жизни. Предмет математики разделен на  обла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ти: арифметика; алгебра; геометрия; элементы логики, комбинаторики, статистики и теории вероятн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сти. К каждой области математики к практическим умениям сформированы определенные требования: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</w:t>
      </w:r>
      <w:r w:rsidR="00683E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области 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арифметики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решение несложных практических расчетных задач, устной прикидки и оце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ки результата вычислений, проверки результата вычисления с использованием различных приемов;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-</w:t>
      </w:r>
      <w:r w:rsidR="00683E81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 xml:space="preserve"> 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алгебры: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выполнение расчетов по формулам; составление формул, выражающих зависимость между реальными величинами; описание зависимостей между физическими величинами при исследовании 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сложных практических ситуаций;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-</w:t>
      </w:r>
      <w:r w:rsidR="00683E81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 xml:space="preserve"> 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геометрии: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описание реальных ситуаций на языке геометрических расчетов, включаемых просте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й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шие тригонометрические формулы; решение практических задач, связанных с нахождением геометрических в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личин; построение геометрическими инструментами;</w:t>
      </w:r>
    </w:p>
    <w:p w:rsidR="00EF4EB3" w:rsidRPr="00EF4EB3" w:rsidRDefault="00EF4EB3" w:rsidP="00683E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-</w:t>
      </w:r>
      <w:r w:rsidR="00683E81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 xml:space="preserve"> 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элементы логики, комбинаторики, статистики теории вероятности: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выстраивание аргументации при доказательстве, распознание логически некорректных рассуждений. 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Математическая грамотность учащихся определяется как «сочетание математических знаний, умений, опыта и способностей человека», обеспечивающих успешное решение различных проблем, требующих 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пользование математики.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Компетентностный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подход предполагает освоение учащимися различного рода умений, позволяющих им в будущем действовать эффективно в ситуациях профессиональной, личной и общественной жизни. Причем особое значение придается умениям, позволяющим действовать в новых, неопределенных, пр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блемных ситуациях, для которых заранее нельзя наработать соответствующих средств. Их нужно 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ходить в процессе решения подобных ситуаций и достигать требуемых результатов.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Таким образом,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компетентностный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подход является усилением прикладного, практического характера (в том числе и предметного обучения).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Одним из средств развития учебно-познавательной компетентн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сти должны стать «компетентные задачи», которые должны содержать некую практическую или личнос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ную направленность для учащегося, чтобы деятельность в ходе решения была мотивированной;  а также цель решения задачи должна заключаться не столько в получении ответа, сколько в присвоении 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вого знания (метода, способа решения, приема)  с возможным переносом на другие предметы, т.е. пре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метное знание должно выступать в роли средства для получения некоего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межпредметного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или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общепре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метного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знания.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Общеучебные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компетенции, как выделение главного из прочитанного; точная формулировка правил, теорем,</w:t>
      </w:r>
      <w:r w:rsidR="007F1E5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аксиом; исследование различных вариантов решения задач; оценка результатов своей деятельн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сти должны формироваться не отдельно, а в целостной системе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навыковых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блоков, называемых компетенци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ми.</w:t>
      </w:r>
      <w:proofErr w:type="gramEnd"/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Задача учителя - научить учеников анализировать нестандартные ситуации, ставить перед собой цели, планировать результат своей деятельности, принимать ответственное решение в той или иной ситу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ции.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Обучающиеся на уроках должны иметь возможность практиковаться в освоенных компетенциях в ма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симально большом количестве реальных и имитационных контекстов, применять полученные знания в 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стандартных ситуациях.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Обучение приобретает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деятельностный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характер, акцент делается на обучение ч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рез практику, продуктивную работу обучающихся в малых группах, использование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межпредметных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св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зей, развитие самостоятельности.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Компетентностный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подход в преподавании математики позволяет повысить эффективность результ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тов обучения.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Ученик должен четко для себя представлять, что и как он изучает сегодня, будет изучать на следу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щем занятии, и каким образом он сможет использовать полученные знания в последующей жизни. Для ра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вития этого вида компетентности можно применять следующие приемы: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 перед изучением новой темы учитель рассказывает учащимся о ней, а учащиеся формулируют по этой теме вопросы, которые начинаются со слов: «зачем», «почему», «как», «чем», «о чем»; оценивается 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мый интересный, при этом ни один из вопросов не остается без ответа. В результате учащиеся четко пре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ставляют, что, когда и как они будут изучать. Кроме того, данный прием позволяет им понять не только ц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ли изучения данной темы в целом, но и осмыслить место урока в системе занятий, а, следов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тельно, и место материала этого урока во всей теме;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 на каком-либо конкретном занятии учащиеся самостоятельно изучают отдельные параграфы учебн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 и составляют краткий конспект этого параграфа. Перед ними стоит задача - пересказать или пояснить прочитанное (выделить, обозначить, подвести итог, подчеркнуть, перечислить, произнести…) В итоге уч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щиеся не только более глубоко понимают изучаемый материал, но и учатся выбирать главное, обосновывать его важность не только для других, но и, самое главное, для себя;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 подходит проведение предметной олимпиады, которая включает в себя нестандартные задания, тр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бующие применения учеником именно предметной логики, а не материала из школьного курса.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Рассмотрим предложенную детям задачу: «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Жалгас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учится в 11 классе, а Тамерлан– </w:t>
      </w:r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</w:t>
      </w:r>
      <w:proofErr w:type="gram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7 классе. В каком классе учился Тамерлан, когда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Жалгас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был в 6 классе?» При решении данной задачи ученикам важно выд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лить в её решении два действия: а) нахождение разницы в возрасте между детьми, б) нахождение к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нечного ответа. Большинство учеников найдут верный ответ, но лишь несколько из них, как показывает опыт, см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гут правильно составить краткую запись (наглядное изображение задачи), и именно у этих учен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ков развито математическое мышление, они смогли интерпретировать текст задачи схематически.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Специфическим и очень важным структурным компонентом урока является формулирование темы и цели занятия. При проектировании урока особое внимание в своей  педагогической практике уделяю разв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тию умения учащимися  осуществлять 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целеполагание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(как одной из составляющих учебно-познавательной компетенции). Предлагаю ученикам сформулировать цель урока. Формулировка цели  часто может выт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кать из темы урока. Цель может быть поставлена в результате осознания недостаточности знаний и умений разр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шить возникшую проблемную  ситуацию.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Пример 1.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Тема «Формула корней квадратного уравнения», алгебра, 8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После актуализации знаний и 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шения неполных квадратных уравнений и уравнений, в правой части которых полный квадрат, учащиеся встают перед задачей: как решить уравнение 6х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  <w:lang w:eastAsia="ru-RU"/>
        </w:rPr>
        <w:t>2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х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-5 =0. Формулируется цель урока, которую подсказала  возникшая проблема.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Пример 2.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Алгебра, 8 класс, тема «Теорема Виета». Перед  рассмотрением теоремы предлагаю учен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кам выписать несколько квадратных уравнений с верными и неверными корнями. Проверить эти уравн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ния я могу у всех учащихся, с одной стороны, удивив их, с другой стороны подтолкнув к вопросу: каким обр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зом я это сделала?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 помощью рассмотренного подхода к формулированию темы и цели урока у учащихся создается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сам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установка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 достижение цели, которая,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свою очередь, обеспечивает готовность к усвоению знаний. Она действует в течение всего урока и стимулирует плодотворную учебную деятельность на остальных его эт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пах. Предопределение учениками содержания своей деятельности активизирует внимание, мышление, п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="007F1E5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мять 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</w:t>
      </w:r>
      <w:r w:rsidR="007F1E5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соответственно, развивает их.</w:t>
      </w:r>
    </w:p>
    <w:p w:rsidR="00EF4EB3" w:rsidRPr="00EF4EB3" w:rsidRDefault="00EF4EB3" w:rsidP="007F1E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 ознакомлении учащихся с новыми математическими понятиями, при определении новых понятий зн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ния не сообщаются в готовом виде. Здесь уместно побуждать учащихся к сравнению, сопоставлению и пр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тивопоставлению фактов, в результате чего и возникает поисковая ситуация.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lastRenderedPageBreak/>
        <w:t>Пример 3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 геометрия, 11 класс, теме «Сфера, уравнение сферы». После актуализации знаний (опр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деление окружности, уравнение окружности) предлагаю самим дать определение сферы и записать уравн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ние сферы, а потом доказать, что данное уравнение  действительно является уравнением сферы.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Пример 4: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Алгебра, 9 класс, тема «Арифметическая прогрессия».</w:t>
      </w:r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Как добиться, чтобы ученики п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лучили возможность участвовать в составлении определения и хотя бы часть его составили сами?  Предл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гаю следующую задачу: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«Даны три последовательности: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А) 3, 9, 15, 21, (…), …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Б) (…), 4, 7, 10, …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В) 5, (…), 19, 26, 33, (…), …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Они составлены по одному закону. Угадайте, какое число пропущено в каждой последовательн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сти? Напишите, по какому закону они составлены и подберите подобную последовательность». Выполнив зад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ние, ученик будет подготовлен к составлению определения.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Предметные задания по математике для обучающихся 5-8 классов составлены в виде трехуровн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вых задач на выявление у обучающихся способов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опосредствования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</w:t>
      </w:r>
    </w:p>
    <w:p w:rsidR="00EF4EB3" w:rsidRPr="00EF4EB3" w:rsidRDefault="00EF4EB3" w:rsidP="00EF4EB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формального способа – овладение образцовым способом действия со стороны его внешней фо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мы, т.е. умение реализовать образец (алгоритм, правило, схему) действия, опираясь на внешние признаки;</w:t>
      </w:r>
    </w:p>
    <w:p w:rsidR="00EF4EB3" w:rsidRPr="00EF4EB3" w:rsidRDefault="00EF4EB3" w:rsidP="00EF4EB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предметного способа – освоение предметного отношения, лежащего в основе культурного сп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соба действия, т.е. действия в ситуации, где внешняя форма и конкретное содержание  не обеспечивают орие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тировку действия, а  структура существенных отношений  замаскирована посторонними деталями или 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ходится в противоречии с формальной стороной  ситуации;</w:t>
      </w:r>
    </w:p>
    <w:p w:rsidR="00EF4EB3" w:rsidRPr="00EF4EB3" w:rsidRDefault="00EF4EB3" w:rsidP="00EF4EB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функционального способа – включение способа в состав психологических ресурсов индивида, т.е. свободное (функциональное) владением неким культурным способом действия как ресурсом.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Задача 1.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хорде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АВ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через центр окружности проведена перпендикулярная прямая 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ОМ, M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принадлежит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AB,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где</w:t>
      </w:r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О</w:t>
      </w:r>
      <w:proofErr w:type="gram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– центр окружности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.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7F8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Задание 1.1.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Найдите радиус окружности, если, а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ОМ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= 5 см.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7F8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Задание 1.2.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Докажи, что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АМ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=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ВМ,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 сделайте вывод.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7F8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Задание 1.3.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L, K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– точка пересечения прямой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ОМ 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окружностью. Докажите, что дуга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AL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равна д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ге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BL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и дуга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AK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равна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BK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Сделайте вывод.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Задача </w:t>
      </w:r>
      <w:r w:rsidR="00E57F85"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2</w:t>
      </w:r>
      <w:r w:rsidRPr="00E57F8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.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 xml:space="preserve">Задание </w:t>
      </w:r>
      <w:r w:rsidR="00E57F85" w:rsidRPr="00E57F8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2</w:t>
      </w:r>
      <w:r w:rsidRPr="00E57F8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.1.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 а) Запишите координаты точек</w:t>
      </w:r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А</w:t>
      </w:r>
      <w:proofErr w:type="gramEnd"/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, В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и </w:t>
      </w:r>
      <w:r w:rsidRPr="00E57F8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С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E57F8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 xml:space="preserve">Задание </w:t>
      </w:r>
      <w:r w:rsidR="00E57F85" w:rsidRPr="00E57F8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2</w:t>
      </w:r>
      <w:r w:rsidRPr="00E57F8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.2.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 Покажите на координатной плоскости решение следующей системы и совокупности неравенств: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 Некоторые из задач подобного рода требуют не только знания математики и арифметики, но и пра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тической смекалки, умения ориентироваться в конкретной обстановке. В этом виде компетенции можно г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ворить и о профориентации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Задачи: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gram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1.Проем в окне имеет высоту 2 м. 26 см. и ширину 1 м. 48 см. Сколько потребуется ткани шириной 85 см. для занавески, закрывающей весь проем окна, если на подшивку одного конца занавески требуется 2 см, на продольный шов - по 1 см. от полосы и на закрытие стен по краям проема-  10 см.?</w:t>
      </w:r>
      <w:proofErr w:type="gramEnd"/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2.Каких размеров потребуется лист картона для изготовления коробки без крышки длиной 19 см, шириной 12 см и высотой 3 см?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3.На каком равном расстоянии друг от друга и от концов лестницы можно расположить 7 ступенек шириной 4 см на лестнице длиной 2 м 68 см?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4.Сколько погонных метров линолеума шириной 2 м потребуется для покрытия пола длиной 5 м и длиной 8 м?</w:t>
      </w:r>
    </w:p>
    <w:p w:rsidR="00EF4EB3" w:rsidRPr="00EF4EB3" w:rsidRDefault="00EF4EB3" w:rsidP="00EF4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Диагностировать компетентность ученика можно и с помощью проверочных и контрольных работ и тестов, подбирая соответствующие задания, но не все виды компетенций могут быть правильно оценены только по результатам таких работ. Например, трудно определить коммуникативную компетентность уч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ника по результатам индивидуальной работы, учитывая, что данный вид компетенции включает в себя 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выки работы в группе, владение различными социальными ролями в коллективе. Здесь следует учитывать полезность проводимой работы для ученика. Поэтому, внедряя </w:t>
      </w: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компетентностный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подход в преподавание математики, учитель должен оценивать компетентность ученика в целом и по результатам самостоятел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ь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ных, контрольных, домашних работ, по работе на уроках, по инициативности ученика, стремлению его к знаниям.</w:t>
      </w:r>
    </w:p>
    <w:p w:rsidR="00B81286" w:rsidRPr="00E57F85" w:rsidRDefault="00EF4EB3" w:rsidP="007F1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Компетентностный</w:t>
      </w:r>
      <w:proofErr w:type="spellEnd"/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подход в преподавании математики ведет к повышению уровня образованности учащихся и означает достижение нового качества образования, на что направлена программа его модерн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зации. Новое качество образования заключается в новых возможностях выпускников школы, в их способн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EF4EB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сти решать проблемы, которые предыдущие поколения выпускников не решали.</w:t>
      </w:r>
    </w:p>
    <w:sectPr w:rsidR="00B81286" w:rsidRPr="00E57F85" w:rsidSect="007F1E52">
      <w:pgSz w:w="11906" w:h="16838"/>
      <w:pgMar w:top="426" w:right="424" w:bottom="284" w:left="28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D85"/>
    <w:multiLevelType w:val="multilevel"/>
    <w:tmpl w:val="B23C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B7ABF"/>
    <w:multiLevelType w:val="multilevel"/>
    <w:tmpl w:val="75B6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EF4EB3"/>
    <w:rsid w:val="00361D8B"/>
    <w:rsid w:val="00683E81"/>
    <w:rsid w:val="007F1E52"/>
    <w:rsid w:val="00B81286"/>
    <w:rsid w:val="00E57F85"/>
    <w:rsid w:val="00E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86"/>
  </w:style>
  <w:style w:type="paragraph" w:styleId="2">
    <w:name w:val="heading 2"/>
    <w:basedOn w:val="a"/>
    <w:link w:val="20"/>
    <w:uiPriority w:val="9"/>
    <w:qFormat/>
    <w:rsid w:val="00EF4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4EB3"/>
    <w:rPr>
      <w:i/>
      <w:iCs/>
    </w:rPr>
  </w:style>
  <w:style w:type="character" w:styleId="a5">
    <w:name w:val="Strong"/>
    <w:basedOn w:val="a0"/>
    <w:uiPriority w:val="22"/>
    <w:qFormat/>
    <w:rsid w:val="00EF4EB3"/>
    <w:rPr>
      <w:b/>
      <w:bCs/>
    </w:rPr>
  </w:style>
  <w:style w:type="character" w:styleId="a6">
    <w:name w:val="Hyperlink"/>
    <w:basedOn w:val="a0"/>
    <w:uiPriority w:val="99"/>
    <w:semiHidden/>
    <w:unhideWhenUsed/>
    <w:rsid w:val="00EF4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ofteacher.com/1614-3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2015-05-31T13:36:00Z</dcterms:created>
  <dcterms:modified xsi:type="dcterms:W3CDTF">2015-05-31T14:11:00Z</dcterms:modified>
</cp:coreProperties>
</file>