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14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Александрова И.А., Грищенко О.В.</w:t>
      </w:r>
    </w:p>
    <w:p>
      <w:pPr>
        <w:spacing w:before="0" w:after="200" w:line="360"/>
        <w:ind w:right="14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Сетевая форма реализации образовательных программ с участием работодателей.</w:t>
      </w:r>
    </w:p>
    <w:p>
      <w:pPr>
        <w:spacing w:before="0" w:after="200" w:line="360"/>
        <w:ind w:right="1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Повышение качества среднего профессионального образования связано в том числе с тем, насколько тесно взаимодействуют профессиональные образовательные организации с отраслевыми работодателями-партнерами.   Вовлечение работодателей в процесс реализации образовательных программ является одной из важнейших задач, стоящих перед системой профессионального образования. За последние два десятилетия накоплен значительный опыт в области социального партнерства в условиях, когда работодатели являются преимущественно частными компаниями, а система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государственной.  </w:t>
      </w:r>
    </w:p>
    <w:p>
      <w:pPr>
        <w:spacing w:before="0" w:after="200" w:line="360"/>
        <w:ind w:right="0" w:left="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Тесное взаимодействие между профессиональными образовательными организациями (далее ПОО) и работодателями ранее в СССР позволял выпускать квалифицированных специалистов под нужды народного хозяйства. Это достигалось за счет тесной связи ПОО и предприятий и подчинения одним и тем же отраслевым министерствам. В современной России ситуация принципиально иная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ПОО являются в основном государственными и находятся в ведении органов исполнительной власти в сфере образования субъектов РФ, а предприятия являются частными. Это создает необходимость выстраивать взаимоотношения на основе добровольного и взаимовыгодного участия.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 последние более чем 20 лет выработаны разнообразные формы взаимоотношений между ПОО и работодателями, которые называют социальным партнерством. Среди них можно выделить предоставление работодателями мест для производственной практики, руководство дипломными проектами, участие в наблюдательных советах ПОО, стажировки преподавателей на предприятии, иногда спонсорство и пожертвования на ремонт и прочие нужды ПОО, передача оборудования, проведение учебных экскурсий на предприятии и т.д. Данное взаимодействие оформляется в виде договоров о сотрудничестве, а зачастую носит неформальный характер. Для предприятий любые затраты на социальное партнерство осуществляются из прибыли и рассматриваются во многом, как часть корпоративной социальной ответственности, а не инвестирование в кадровый потенциал компании.</w:t>
      </w:r>
    </w:p>
    <w:p>
      <w:pPr>
        <w:spacing w:before="0" w:after="200" w:line="360"/>
        <w:ind w:right="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статье 15 Закона об образовании устанавливается новое нормативное основание для взаимодействия ПОО и работодателей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сетевая форма реализации образовательной программы. Она предполагает использование ресурсов (кадровых, материальных, информационных) нескольких организаций при реализации образовательной программы.</w:t>
      </w:r>
    </w:p>
    <w:p>
      <w:pPr>
        <w:spacing w:before="0" w:after="200" w:line="360"/>
        <w:ind w:right="7" w:left="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рис. 1 изображена схема сетевого взаимодействия ПОО и предприятия. Между ПОО и предприятием заключается договор, который закрепляет распределение обязанностей между ними, порядок реализации программы, объем используемых ресурсов каждым участником, статус обучающегося на предприятии. Организации, участвующие в сетевом взаимодействии, совместно разрабатывают и утверждают образовательные программы. </w:t>
      </w:r>
      <w:r>
        <w:object w:dxaOrig="8980" w:dyaOrig="4158">
          <v:rect xmlns:o="urn:schemas-microsoft-com:office:office" xmlns:v="urn:schemas-microsoft-com:vml" id="rectole0000000000" style="width:449.000000pt;height:207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7" w:after="200" w:line="360"/>
        <w:ind w:right="2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системы СПО наиболее востребованной является модель участия ПОО с предприятием, или несколькими предприятиями. В этом случае ПОО отвечает за теоретическую подготовку, а предприятие, обладающее необходимой материальной базой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 практическую подготовку.</w:t>
      </w:r>
    </w:p>
    <w:p>
      <w:pPr>
        <w:spacing w:before="0" w:after="200" w:line="360"/>
        <w:ind w:right="0" w:left="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Финансирование сетевых программ при условии реализации программ за счет бюджета осуществляется через государственное задание. Согласно п. 2 ст. 99 закона об образовании, норматив финансирования должен устанавливаться с учетом сетевой формы, хотя на практике это не ведет к его увеличению. ПОО получает субсидию в рамках государственного задания и по договору о сетевом взаимодействии передает определенную долю предприятию для реализации части образовательной программы. Осложняют реализацию данного процесса отсутствие отработанной методики определения  стоимости реализации разных частей образовательной  программы. Вторая сложность состоит в небольшом размере субсидии, которая не покрывает всех затрат предприятия в рамках обучения.</w:t>
      </w:r>
    </w:p>
    <w:p>
      <w:pPr>
        <w:spacing w:before="0" w:after="200" w:line="360"/>
        <w:ind w:right="1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Сетевая форма реализации программы, описанная в законе, является перспективной для повсеместного внедрения благодаря возможности вовлечения работодателей в образовательный процесс.  </w:t>
      </w:r>
    </w:p>
    <w:p>
      <w:pPr>
        <w:spacing w:before="0" w:after="200" w:line="360"/>
        <w:ind w:right="7" w:left="36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Обучение на предприятии должно осуществляться практикующими специалистами с соответствующей педагогической подготовкой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наставниками. Обучение наставников может быть по договору о сетевой форме реализации программы ответственностью ПОО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соответствующие средства могут быть предусмотрены в рамках субсидий на реализацию образовательных программ. Организация в свою очередь берет на себя обязательство стимулировать наставников путем установления надбавок к зарплате. Эти меры могут быть закреплены Положением о наставничестве на разных уровнях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федеральном, региональном и местном.</w:t>
      </w:r>
    </w:p>
    <w:p>
      <w:pPr>
        <w:spacing w:before="0" w:after="200" w:line="360"/>
        <w:ind w:right="0" w:left="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Существуют разнообразные практики сетевого взаимодействия ПОО и работодателей. Крупные предприятия, создают в структуре компаний учебные подразделения. Студенты из ПОО сначала проходят учебную практику и даже осваивают часть теоретического материала в этих центрах, и только после этого допускаются до производственного оборудования. Однако большинство работодателей неохотно идут на контакт с ПОО. Существует проблема подготовки кадров для малого и среднего бизнеса. Необходимо развивать работу на основе договоров сетевого взаимодействия с  целой сетью небольших компаний, которые могут принять у себя по несколько студентов. А ПОО со своей стороны могут помочь им создать необходимые для обучения условия, в том числе в части обучения наставников. Такая форма взаимодействия могла бы быть эффективна в рамках создаваемых специализированных научно-производственных территорий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технополисов и технопарков, на территории которых работают небольшие высокотехнологичные производственные и исследовательские компании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  <w:vertAlign w:val="superscript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00" w:line="360"/>
        <w:ind w:right="14" w:left="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Сетевая форма реализации образовательных программ в случае снятия противоречий в нормативных актах и изменения в налоговом законодательстве может стать одной из наиболее распространенных форм взаимодействия предприятий и ПОО. Участие работодателей на всех этапах реализации программ позволит выйти на новый уровень сотрудничества, когда ПОО не будут рассматриваться как дотационные центры, нуждающиеся в благотворительности, а выступят в роли полноправных партнеров предприятий в роли поставщиков квалифицированных кадров.</w:t>
      </w:r>
    </w:p>
    <w:p>
      <w:pPr>
        <w:spacing w:before="223" w:after="200" w:line="360"/>
        <w:ind w:right="0" w:left="18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Библиографический список:</w:t>
      </w:r>
    </w:p>
    <w:p>
      <w:pPr>
        <w:numPr>
          <w:ilvl w:val="0"/>
          <w:numId w:val="15"/>
        </w:numPr>
        <w:tabs>
          <w:tab w:val="left" w:pos="367" w:leader="none"/>
        </w:tabs>
        <w:spacing w:before="0" w:after="0" w:line="360"/>
        <w:ind w:right="7" w:left="7" w:firstLine="709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Большаков А.П. Государственно-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частное партнерство в колледже / Про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фессиональное образование и рынок труда. - 2015. -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5/6.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С. 6-9.</w:t>
      </w:r>
    </w:p>
    <w:p>
      <w:pPr>
        <w:numPr>
          <w:ilvl w:val="0"/>
          <w:numId w:val="15"/>
        </w:numPr>
        <w:tabs>
          <w:tab w:val="left" w:pos="367" w:leader="none"/>
        </w:tabs>
        <w:spacing w:before="0" w:after="0" w:line="360"/>
        <w:ind w:right="14" w:left="7" w:firstLine="709"/>
        <w:jc w:val="both"/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Михеева С.А., Уклечев О.Ю. Новая модель профессионального обучения: опыт КАМАЗа // Профессиональное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FFFFFF" w:val="clear"/>
        </w:rPr>
        <w:t xml:space="preserve">образование. Столица.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FFFFFF" w:val="clear"/>
        </w:rPr>
        <w:t xml:space="preserve">2015.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FFFFFF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-4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С. 2-7.</w:t>
      </w:r>
    </w:p>
    <w:p>
      <w:pPr>
        <w:spacing w:before="0" w:after="200" w:line="360"/>
        <w:ind w:right="0" w:left="22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Методические рекомендации по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реализации дуальной модели подготов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ки высококвалифицированных рабочих кадров // АСИ, Минобрнауки России, ФИРО.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М., 2015.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15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