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56" w:rsidRPr="00F45E56" w:rsidRDefault="00F45E56" w:rsidP="00F45E56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bookmarkStart w:id="0" w:name="_GoBack"/>
      <w:r w:rsidRPr="00F4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метод</w:t>
      </w:r>
      <w:r w:rsidR="00D7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ическом объединении психологов. «</w:t>
      </w:r>
      <w:r w:rsidRPr="00F4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Социально-психологическая адаптация</w:t>
      </w:r>
      <w:r w:rsidR="00D7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воспитанников ДОУ</w:t>
      </w:r>
      <w:r w:rsidRPr="00F4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F45E56" w:rsidRPr="00F45E56" w:rsidRDefault="00F45E56" w:rsidP="00F45E5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– это создание системы условий, в которых происходит развитие личности.  В процессе воспитания происходит личностный рост. Это особенность человека сопровождает его всегда, прежде всего в период взросления. Один из аспектов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взросления  -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адаптация детей и подростков, которая включает в себя, прежде всего, предупреждение детской и подростковой преступности: наркомания, алкоголизма, детского суицида и др.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многих детей школа остается единственным местом, где хоть кому – то есть дело до ребенка и его проблем. Любой ребенок имеет право рассчитывать на школу, как на место, где он может пережить радость достижения, почувствовать себя победителем.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говорит известный американский педагог Уильям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Глассер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1991 году.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снимает со школы функции подготовки детей к взрослой жизни.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работа школы по социально-психологической адаптации детей, а тем более направленная работа по развитию личности сегодня практически мало методически обеспечена.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«плохим» поведением можно понять:</w:t>
      </w:r>
    </w:p>
    <w:p w:rsidR="00F45E56" w:rsidRPr="00F45E56" w:rsidRDefault="00F45E56" w:rsidP="00F45E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Хулиганские, хамские выходки;</w:t>
      </w:r>
    </w:p>
    <w:p w:rsidR="00F45E56" w:rsidRPr="00F45E56" w:rsidRDefault="00F45E56" w:rsidP="00F45E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Неадекватное, инфантильное, недостойное поведение;</w:t>
      </w:r>
    </w:p>
    <w:p w:rsidR="00F45E56" w:rsidRPr="00F45E56" w:rsidRDefault="00F45E56" w:rsidP="00F45E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интереса к учебе;</w:t>
      </w:r>
    </w:p>
    <w:p w:rsidR="00F45E56" w:rsidRPr="00F45E56" w:rsidRDefault="00F45E56" w:rsidP="00F45E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отвечать у доски;</w:t>
      </w:r>
    </w:p>
    <w:p w:rsidR="00F45E56" w:rsidRPr="00F45E56" w:rsidRDefault="00F45E56" w:rsidP="00F45E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Неверие в себя;</w:t>
      </w:r>
    </w:p>
    <w:p w:rsidR="00F45E56" w:rsidRPr="00F45E56" w:rsidRDefault="00F45E56" w:rsidP="00F45E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Независимое и неуверенное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 изгоя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тому подобное.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учителя и воспитатели, в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 и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 учреждениях, в первом классе и в старших класса, молодые и опытные, сталкиваются в своей работе с проблемами дисциплины. У учеников имеются сотни способов мешать уроку, заводить класс и исподтишка срывать объяснение материала. Как мы реагируем на их поведение, зависит от «философии дисциплины», которую осознанно или нет – проповедует конкретный педагог.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выделить три разных подхода:</w:t>
      </w:r>
    </w:p>
    <w:p w:rsidR="00F45E56" w:rsidRPr="00F45E56" w:rsidRDefault="00F45E56" w:rsidP="00F45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Руки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прочь». Педагоги, которые придерживаются неправильного подхода, считают, что молодые люди сами постепенно научаться управлять своим поведением, контролировать себя и принимать верные решения. Такие учителя в лучшем случае разъясняют ученикам, что случилось, когда все уже случилось. Программа дисциплины с точки зрения этого подхода сводится к обучению навыкам общения;</w:t>
      </w:r>
    </w:p>
    <w:p w:rsidR="00F45E56" w:rsidRPr="00F45E56" w:rsidRDefault="00F45E56" w:rsidP="00F45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«твердые руки». Педагоги верят, что внешний контроль совершенно необходим для воспитания. Они похожи на начальников: требуют, командуют, направляют. Программа дисциплины овладения 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навыками манипулирования учениками ради же их блага. Методы воздействия – угрозы и шантаж;</w:t>
      </w:r>
    </w:p>
    <w:p w:rsidR="00F45E56" w:rsidRPr="00F45E56" w:rsidRDefault="00F45E56" w:rsidP="00F45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«возьмемся за руки». Педагог считает, конкретные поступки учеников – это результат действия обеих сил: внутренних побуждений и внешних обстоятельств. Учителя берут на себя роль ненавязчивого лидера, каждый раз подталкивающего ученика к необходимости осознанного выбора. Они так же включают самих учеников в процесс установления правил. Их программа поддерживает дисциплины строится на позитивных взаимоотношениях с учениками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повышения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самоуважения с помощью стратегии поддержки.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подход позволяет действовать раку об руку с учениками, родителями и коллегами, объединяясь не для разработки планов наказания, а для реализации плана развития личности каждого ученика.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партнерского подхода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проблемам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лежит качество взаимодействия «учитель – ученик».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грамотно строить конструктивное взаимодействие с нарушителями дисциплины необходимо:</w:t>
      </w:r>
    </w:p>
    <w:p w:rsidR="00F45E56" w:rsidRPr="00F45E56" w:rsidRDefault="00F45E56" w:rsidP="00F45E5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истинные мотивы поступка;</w:t>
      </w:r>
    </w:p>
    <w:p w:rsidR="00F45E56" w:rsidRPr="00F45E56" w:rsidRDefault="00F45E56" w:rsidP="00F45E5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ним выбрать способ, чтобы немедленно вмешаться в ситуацию и прекратить выходку;</w:t>
      </w:r>
    </w:p>
    <w:p w:rsidR="00F45E56" w:rsidRPr="00F45E56" w:rsidRDefault="00F45E56" w:rsidP="00F45E5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стратегию своего поведения, которая привела бы к постепенному снижению числа подобных поступков у этого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 в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будущем.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учитель взаимодействует с учеником – правильным считается такое общение, в результате которого ученик и учитель не теряет внутренней свободы. Свободная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 -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ответственная личность. Партнерские отношения с учениками избавляет учителя от необходимости оправдываться в последствии. Они с самого начала строятся на двух воспитывающих личность правилах:</w:t>
      </w:r>
    </w:p>
    <w:p w:rsidR="00F45E56" w:rsidRPr="00F45E56" w:rsidRDefault="00F45E56" w:rsidP="00F45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всегда выбирает поведение, а учитель помогает сделать выбор осознанным;</w:t>
      </w:r>
    </w:p>
    <w:p w:rsidR="00F45E56" w:rsidRPr="00F45E56" w:rsidRDefault="00F45E56" w:rsidP="00F45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выбора это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самому отвечать за его последствие.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чтобы партнерские отношения устанавливались не только между учителями и учениками, но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 учителями и родителями и администрацией школы. Это принципиально, т.к. почти всегда участники образовательного процесса, сталкиваются с нарушениями дисциплины, конфликтными ситуациями, некорректным поведением педагога, начинает играть в игру «кто виноват?». Каждому хочется указать пальцем на кого0то или что–то, что является причиной произошедшего. Обычно такими причинами выступают родители, алкоголизм, современная музыка, телевиденье, социальные проблемы, наркотики, преступность…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игре «кто виноват?» нет победителей: все игроки остаются внутри проблемы, не продвигаясь к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то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положительному решению. Все чувствуют свою правоту, и в тоже время боятся повторения проблемной ситуации.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Познакомимся с тремя основными законами, которым подчинено поведение учеников:</w:t>
      </w:r>
    </w:p>
    <w:p w:rsidR="00F45E56" w:rsidRPr="00F45E56" w:rsidRDefault="00F45E56" w:rsidP="00F45E5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выбирает определенное поведение в определенных обстоятельствах;</w:t>
      </w:r>
    </w:p>
    <w:p w:rsidR="00F45E56" w:rsidRPr="00F45E56" w:rsidRDefault="00F45E56" w:rsidP="00F45E5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поведение учеников подчинено общей цели – чувствовать себя принадлежащим к школьной жизни;</w:t>
      </w:r>
    </w:p>
    <w:p w:rsidR="00F45E56" w:rsidRPr="00F45E56" w:rsidRDefault="00F45E56" w:rsidP="00F45E5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Нарушая дисциплину, ученик осознает, что ведет себя неправильно, но может не осознавать, что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эти нарушением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одна из четырех целей:</w:t>
      </w:r>
    </w:p>
    <w:p w:rsidR="00F45E56" w:rsidRPr="00F45E56" w:rsidRDefault="00F45E56" w:rsidP="00F45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внимания;</w:t>
      </w:r>
    </w:p>
    <w:p w:rsidR="00F45E56" w:rsidRPr="00F45E56" w:rsidRDefault="00F45E56" w:rsidP="00F45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Власть;</w:t>
      </w:r>
    </w:p>
    <w:p w:rsidR="00F45E56" w:rsidRPr="00F45E56" w:rsidRDefault="00F45E56" w:rsidP="00F45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Месть;</w:t>
      </w:r>
    </w:p>
    <w:p w:rsidR="00F45E56" w:rsidRPr="00F45E56" w:rsidRDefault="00F45E56" w:rsidP="00F45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неудачи.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за проступком стоит уникальная комбинация причин и целей. Поэтому важен индивидуальный подход к каждому конкретному ребенку.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инструмент индивидуализации подхода – составление так называемого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Школьного плана действий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(ШПД). Это план изменения ребенка через описание взаимодействий с ним.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ШПД – это индивидуальная программа построении взаимоотношений с конкретным учеником,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–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оптимальная стратегия и тактика общения с ним.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 решает последовательно пять задач, пять шагов: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1. Объективное описание поведения ребенка.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2. Понимания мотива «Плохого поведения».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3. Выбор техники педагогического вмешательства для экстренного прекращения «выходки» на уроке.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4. Разработка стратегии и тактики поддержки ученика для повышения его самоуважения.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5. Включение родителей и коллег – педагогов в реализацию конкретного ШПД.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Рассмотрим подробнее содержание каждого шага.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№1.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Объективное описание поведения ребенка.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 умение:</w:t>
      </w:r>
    </w:p>
    <w:p w:rsidR="00F45E56" w:rsidRPr="00F45E56" w:rsidRDefault="00F45E56" w:rsidP="00F45E5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точно формировать факты;</w:t>
      </w:r>
    </w:p>
    <w:p w:rsidR="00F45E56" w:rsidRPr="00F45E56" w:rsidRDefault="00F45E56" w:rsidP="00F45E5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субъективных оценок;</w:t>
      </w:r>
    </w:p>
    <w:p w:rsidR="00F45E56" w:rsidRPr="00F45E56" w:rsidRDefault="00F45E56" w:rsidP="00F45E5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Составлять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общие описания того, где когда, как часто и что конкретно делал ученик. Слова «всегда», «никогда», «ничего», «все время» не могут фигурировать в объективном описании поведения.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№ 2.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Понимания мотива «Плохого поведения».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Нарушая дисциплину, ученик может не осознавать, что за этими нарушениями стоит одна из четырех целей:</w:t>
      </w:r>
    </w:p>
    <w:p w:rsidR="00F45E56" w:rsidRPr="00F45E56" w:rsidRDefault="00F45E56" w:rsidP="00F45E5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внимания;</w:t>
      </w:r>
    </w:p>
    <w:p w:rsidR="00F45E56" w:rsidRPr="00F45E56" w:rsidRDefault="00F45E56" w:rsidP="00F45E5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Власть;</w:t>
      </w:r>
    </w:p>
    <w:p w:rsidR="00F45E56" w:rsidRPr="00F45E56" w:rsidRDefault="00F45E56" w:rsidP="00F45E5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Месть;</w:t>
      </w:r>
    </w:p>
    <w:p w:rsidR="00F45E56" w:rsidRPr="00F45E56" w:rsidRDefault="00F45E56" w:rsidP="00F45E5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неудачи.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Привлечение внимания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некоторые ученики выбирают «плохое» поведение что бы получить особое внимание учителя. Они все время хотят быть в центре внимания, не давая учителю вести урок. а ребятам понимать учителя.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Власть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некоторые ученики «плохо» ведут себя, потому что для них важно быть главными. Они пытаются установить свою власть над учителем и всем классом. Своим поведение они фактически говорят: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Ты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ничего не сделаешь» - и нарушают тем самым установленный в классе порядок.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Месть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некоторых учеников главной целью их присутствия в классе становится месть за реальную или вымышленную обиду. Мстить они могут как учителю, так и кому –то из ребят, или всему миру.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Избегание неудачи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некоторые ученики так боятся повторять свое поражение, неудачу, что предпочитают ничего не делать. Или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не удовлетворяют требованиям учителей, родителей или своим собственным чрезмерно завышенным требованиям. Они мечтают, чтобы все оставили их в покое, и оказываются в изоляции, непреступные и «непробиваемые» никакими методическими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ухищрениями  педагога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необходимо знать истинный мотив «плохого» поведения ученика, чтобы правильно строить свое собственное поведение.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истинный мотив поведения ребенка учителю нужно не только для построения своей реакции, но и для понимания реакции ученика на то или иное педагогическое воздействие.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№ 3.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 техники педагогического вмешательства для экстренного прекращения «выходки» на уроке.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воздействие преследует две цели – остановить неприемлемое поведение в тот момент, когда оно имеет место, и повлиять на выбор учеником более приемлемого поведения в будущем. Педагогическое воздействие должно быть неминуемым, обязательным, неизбежным. Это означает, что учитель выдавать подходящую реакцию каждый раз, когда ученик совершает проступок.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4.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Разработка стратегии и тактики поддержки ученика для повышения его самоуважения.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школьника формируется, когда он:</w:t>
      </w:r>
    </w:p>
    <w:p w:rsidR="00F45E56" w:rsidRPr="00F45E56" w:rsidRDefault="00F45E56" w:rsidP="00F45E5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Ощущает свою самостоятельность в учебной деятельности или хотя бы не ощущает интеллектуальной несостоятельности;</w:t>
      </w:r>
    </w:p>
    <w:p w:rsidR="00F45E56" w:rsidRPr="00F45E56" w:rsidRDefault="00F45E56" w:rsidP="00F45E5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и поддерживает приемлемые отношения с учителем и одноклассниками или имеет хотя бы какие-то отношения, пусть уродливые;</w:t>
      </w:r>
    </w:p>
    <w:p w:rsidR="00F45E56" w:rsidRPr="00F45E56" w:rsidRDefault="00F45E56" w:rsidP="00F45E5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свой особый вклад в жизнь класса и школы.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повышения самоуважения строится на принципах замещения неприемлемых способов участия в школьной жизни более приемлемым. Поддерживающая, формирующая самоуважение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 стратегия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требующая специального времени.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отношение педагога к ученику становится позитивным, меняется и отношение ученика к учителю.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№ 5.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Включение родителей и коллег – педагогов в реализацию конкретного ШПД.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ШПД для построение конструктивных взаимоотношений с тем или иным учеником не только решает проблемы дисциплины, но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темой для общения с коллегами и родителями. Если родители понимаю ваши проблемы или даже разделяют их, если они готовы к психологической работе с собой, то под вашим руководством они могут разработать свой домашний план действий и тем самым не только помогут вам, но и решат собственные воспитательные проблемы.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составлению и реализации Школьного плана действий приводит к выигрышу всех участников учебно-воспитательного процесса.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первых, 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выигрывает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учитель. Его ежедневная борьба за дисциплину прекращается, появляется удовлетворение процессом обучения и общения на уроках. Обучаясь строить конструктивные взаимоотношения с учениками, учитель переносит новый стиль обучения на всех остальных людей.  «Эмоциональное сгорание» (усталость, тревожность, нервные срывы) исчезают, на его место приходит удовольствие от творческого и успешного профессионального дела.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выигрывают ученики. Когда уроки превращаются в выяснение отношений, это не способствует ни умственному, ни личностному развитию. Ученики страдают не меньше учителей, вред себе наносят этим и инициаторы срывов уроков. Все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 пришедшие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учиться, нуждаются в творческой, мирной и дружелюбной обстановке, без этого трудно рассчитывать на хорошую успеваемость.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В-третьих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становится спокойнее родители. Они довольны тем, что воспитание ребенка ведется компетентно и по определенному плану.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Довольна и администрация школы. Для неё письменный ШПД – это документ, с помощью которого можно контролировать и оценивать стратегию и эффективность работы учителя с трудными учениками, а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определять, когда учителю нужно помочь более опытного коллеги.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Объективное описание «плохого» поведения.</w:t>
      </w:r>
    </w:p>
    <w:p w:rsidR="00F45E56" w:rsidRPr="00F45E56" w:rsidRDefault="00F45E56" w:rsidP="00F45E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субъективных оценок;</w:t>
      </w:r>
    </w:p>
    <w:p w:rsidR="00F45E56" w:rsidRPr="00F45E56" w:rsidRDefault="00F45E56" w:rsidP="00F45E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Регистрировать частоту «плохого» поведения;</w:t>
      </w:r>
    </w:p>
    <w:p w:rsidR="00F45E56" w:rsidRPr="00F45E56" w:rsidRDefault="00F45E56" w:rsidP="00F45E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Удвоить объективность (если слова описывают то, что можно увидеть с помощью видеокамеры и магнитофона – все правильно!).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Понимания мотивов плохого поведения.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Привлечение внимания.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Причины:</w:t>
      </w:r>
    </w:p>
    <w:p w:rsidR="00F45E56" w:rsidRPr="00F45E56" w:rsidRDefault="00F45E56" w:rsidP="00F45E5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ребенок получает больше внимания, когда он плохо ведет себя;</w:t>
      </w:r>
    </w:p>
    <w:p w:rsidR="00F45E56" w:rsidRPr="00F45E56" w:rsidRDefault="00F45E56" w:rsidP="00F45E5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учит ребенка, как попросить внимания в приемлемой манере.</w:t>
      </w:r>
    </w:p>
    <w:p w:rsidR="00F45E56" w:rsidRPr="00F45E56" w:rsidRDefault="00F45E56" w:rsidP="00F45E5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меньше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дома- тем больше вероятность такого поведения.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профилактики демонстративного поведения.</w:t>
      </w:r>
    </w:p>
    <w:p w:rsidR="00F45E56" w:rsidRPr="00F45E56" w:rsidRDefault="00F45E56" w:rsidP="00F45E5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уделять хорошему поведению;</w:t>
      </w:r>
    </w:p>
    <w:p w:rsidR="00F45E56" w:rsidRPr="00F45E56" w:rsidRDefault="00F45E56" w:rsidP="00F45E5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учеников просить внимания, когда они в этом очень нуждаются.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Власть.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Властолюбивые ученики постоянно задевают учителя, бросают ему вызов. С помощью слов и действий они как атакую нас. Они могут применять различные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тактики:  делать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очень медленно, сдавать незаконченные работы, не уметь в то время, когда остальные не работают.  Иногда – бормочет ругательства, когда их о чем-то просят, жуют жвачку.  Они не действуют без зрителей.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профилактики властолюбивого поведения.</w:t>
      </w:r>
    </w:p>
    <w:p w:rsidR="00F45E56" w:rsidRPr="00F45E56" w:rsidRDefault="00F45E56" w:rsidP="00F45E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от конфронтации и снижение напряженности;</w:t>
      </w:r>
    </w:p>
    <w:p w:rsidR="00F45E56" w:rsidRPr="00F45E56" w:rsidRDefault="00F45E56" w:rsidP="00F45E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ученику части своей организаторской власти;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Месть.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поведение которых продиктовано местью, обычно симпатичными не назовешь. Они выглядят злыми, угрюмыми, даже когда бездействуют. Это самый тяжелый для воспитания.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Месть ученика не всегда начинается с явной обиды, нанесенной учителем намеренно. Она может быть спровоцирована совершенно случайно.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профилактики мстительного поведения</w:t>
      </w: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E56" w:rsidRPr="00F45E56" w:rsidRDefault="00F45E56" w:rsidP="00F45E5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 отношение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учениками по принципу заботы о них;</w:t>
      </w:r>
    </w:p>
    <w:p w:rsidR="00F45E56" w:rsidRPr="00F45E56" w:rsidRDefault="00F45E56" w:rsidP="00F45E5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учеников выражать душевную боль и страдания приемлемыми способами;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Избегание неудач.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Ученики, строящие свое поведение по принципу избегания неудач, не задевают нас, и не вносят хаос в деятельности класса. Они стараются быть незаметными, не нарушать школьные правила и требования. Проблема в том, что они редко взаимодействуют с учителем и одноклассниками. Они остаются в изоляции в классном коллективе.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профилактики</w:t>
      </w:r>
    </w:p>
    <w:p w:rsidR="00F45E56" w:rsidRPr="00F45E56" w:rsidRDefault="00F45E56" w:rsidP="00F45E5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ученику сменить установку «я не могу» на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могу»</w:t>
      </w:r>
    </w:p>
    <w:p w:rsidR="00F45E56" w:rsidRPr="00F45E56" w:rsidRDefault="00F45E56" w:rsidP="00F45E5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в преодолении социальной изоляции путем включения ученика в отношение с другими людьми.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 техники экстренного педагогического вмешательства.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ошибаемся, когда: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Повышаем голос;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 фразу типа «учитель здесь пока ещё я»;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Оставляем последнее слово за собой;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такие позы и жесты, которые «давят»;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Разговариваем с сарказмом;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 оценку характера ученика;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Действуем с превосходством, используем физическую силу;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Втягиваем в конфликт других людей, не причастных к нему;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Настаиваем на своей правоте;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морали;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учеников в угол;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Оправдываемся, защищаемся;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Формулируем обобщение типа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вы</w:t>
      </w:r>
      <w:proofErr w:type="gram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одинаковые»;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 негодование;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Придираемся, изводим кого-то придирками;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Передразниваем учеников;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Сравниваем одного ученика с другим;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Командуем, требуем, давим;</w:t>
      </w:r>
    </w:p>
    <w:p w:rsidR="00F45E56" w:rsidRPr="00F45E56" w:rsidRDefault="00F45E56" w:rsidP="00F45E5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Поощряем ученика, фактически награждаем его за «плохое» поведение.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форм поведения могут остановить проступок на короткое время. Но отрицательный эффект от такого поведения приносит куда больше неприятностей, чем сама его причина.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 экстренного педагогического воздействия при поведении, направленного на привлечение внимания.</w:t>
      </w:r>
    </w:p>
    <w:p w:rsidR="00F45E56" w:rsidRPr="00F45E56" w:rsidRDefault="00F45E56" w:rsidP="00F45E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внимания</w:t>
      </w:r>
    </w:p>
    <w:p w:rsidR="00F45E56" w:rsidRPr="00F45E56" w:rsidRDefault="00F45E56" w:rsidP="00F45E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Разрешающее поведение</w:t>
      </w:r>
    </w:p>
    <w:p w:rsidR="00F45E56" w:rsidRPr="00F45E56" w:rsidRDefault="00F45E56" w:rsidP="00F45E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Неожиданное поведение</w:t>
      </w:r>
    </w:p>
    <w:p w:rsidR="00F45E56" w:rsidRPr="00F45E56" w:rsidRDefault="00F45E56" w:rsidP="00F45E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Отвлечение внимания ученика</w:t>
      </w:r>
    </w:p>
    <w:p w:rsidR="00F45E56" w:rsidRPr="00F45E56" w:rsidRDefault="00F45E56" w:rsidP="00F45E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хорошего поведения</w:t>
      </w:r>
    </w:p>
    <w:p w:rsidR="00F45E56" w:rsidRPr="00F45E56" w:rsidRDefault="00F45E56" w:rsidP="00F45E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Пересаживания учеников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 экстренного педагогического вмешательства при властном или мстительном поведении.</w:t>
      </w:r>
    </w:p>
    <w:p w:rsidR="00F45E56" w:rsidRPr="00F45E56" w:rsidRDefault="00F45E56" w:rsidP="00F45E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изящный уход</w:t>
      </w:r>
    </w:p>
    <w:p w:rsidR="00F45E56" w:rsidRPr="00F45E56" w:rsidRDefault="00F45E56" w:rsidP="00F45E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удаление (в пред. Класса)</w:t>
      </w:r>
    </w:p>
    <w:p w:rsidR="00F45E56" w:rsidRPr="00F45E56" w:rsidRDefault="00F45E56" w:rsidP="00F45E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Устанавливайте санкции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Меры экстренного педагогического воздействия при поведении, направленного на избегание неудачи.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методов объяснения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требования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позитивно рассказывать о себе и о своей деятельности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Сформирование отношения к ошибкам, как нормальным и нужным явлениям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веры в успех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 внимания учеников на уже достигнутых в прошлом успехов</w:t>
      </w:r>
    </w:p>
    <w:p w:rsidR="00F45E56" w:rsidRPr="00F45E56" w:rsidRDefault="00F45E56" w:rsidP="00F45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«материализации» своего развития.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Разработка стратегии поддержки учеников.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ученикам чувствовать свою интеллектуальную состоятельность.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ошибках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Минимизируйте последствия от сделанных ошибок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любые улучшения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Объявляйте о любых вкладах конкретного ученика в общее дело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Раскрывайте сильные стороны своих учеников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веру в своих учеников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Признавайте трудности в ваших заданиях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 время на выполнение задания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прошлого успеха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и закрепляйте успехи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Наклейки «я могу»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достижений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себе вчерашним, сегодняшним, завтрашним</w:t>
      </w:r>
    </w:p>
    <w:p w:rsidR="00F45E56" w:rsidRPr="00F45E56" w:rsidRDefault="00F45E56" w:rsidP="00F45E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помочь ученикам установить нормальные отношения с учителем и почувствовать свою коммуникативную состоятельность.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того, кто делает, а не то, что сделано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личностные особенности ученика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позитивное внимание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(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-не)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учеников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учеников просить внимания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(признание)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чувства</w:t>
      </w:r>
    </w:p>
    <w:p w:rsidR="00F45E56" w:rsidRPr="00F45E56" w:rsidRDefault="00F45E56" w:rsidP="00F45E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прикосновения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Включение родителей и коллег - педагогом в реализацию ШПД.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Ваша работа будет во много раз эффективнее. Если привлечь родителей.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и учителя – самые значимые для ребенка взрослые – объединяют свои усилия, ставят общие цели и используют партнерские стратегии, результат появляется на много быстрее.</w:t>
      </w:r>
    </w:p>
    <w:p w:rsidR="00F45E56" w:rsidRPr="00F45E56" w:rsidRDefault="00F45E56" w:rsidP="00F45E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 для родителей</w:t>
      </w:r>
    </w:p>
    <w:p w:rsidR="00F45E56" w:rsidRPr="00F45E56" w:rsidRDefault="00F45E56" w:rsidP="00F45E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</w:p>
    <w:p w:rsidR="00F45E56" w:rsidRPr="00F45E56" w:rsidRDefault="00F45E56" w:rsidP="00F45E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для родителей</w:t>
      </w:r>
    </w:p>
    <w:p w:rsidR="00F45E56" w:rsidRPr="00F45E56" w:rsidRDefault="00F45E56" w:rsidP="00F45E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родительского клуба</w:t>
      </w:r>
    </w:p>
    <w:p w:rsidR="00F45E56" w:rsidRPr="00F45E56" w:rsidRDefault="00F45E56" w:rsidP="00F45E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учительская  конференция</w:t>
      </w:r>
      <w:proofErr w:type="gramEnd"/>
    </w:p>
    <w:p w:rsidR="00F45E56" w:rsidRPr="00F45E56" w:rsidRDefault="00F45E56" w:rsidP="00F45E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Ю.Б. Общаться с ребенком. Как? – М.: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Сфера, 2003. – 253 с.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ключей успешного воспитания // Первое сентября. – 2003, №21.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Карнеги Д. Как завоевывать друзей и оказывать влияние на людей… /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Пер.с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англ.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Д.С.Лободенко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Мн.: ООО «СЛК», 1997. – 640 с.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Кипнис М. Тренинг семейных отношений. Часть 2.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«Ось -89», 2008. – 144 с. (Действенный тренинг).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Минияров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Психология семейного воспитания (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-коррекционный аспект). – М.: МПСИ; Воронеж: Издательство НПО «МОДЭК», 2000. – 256 с. (Серия «Библиотека школьного психолога»).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Толстоухова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Обухова Л.А. Нетрадиционные формы работы с родителями. – М.: 5 за знания, 2005. – 240 с. (Серия «Методическая библиотека»).</w:t>
      </w:r>
    </w:p>
    <w:p w:rsidR="00F45E56" w:rsidRPr="00F45E56" w:rsidRDefault="00F45E56" w:rsidP="00F45E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Активные формы групповой работы с родителями / О. </w:t>
      </w:r>
      <w:proofErr w:type="spellStart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F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Школьный психолог. – 2006, №19.</w:t>
      </w:r>
    </w:p>
    <w:p w:rsidR="00F45E56" w:rsidRDefault="00F45E56" w:rsidP="00F45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56" w:rsidRDefault="00F45E56" w:rsidP="00F45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Способы эффективного взаимодействия с учениками, имеющими трудности в обучении.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 же такое неуспеваемость?</w:t>
      </w:r>
    </w:p>
    <w:p w:rsidR="00F45E56" w:rsidRPr="00F45E56" w:rsidRDefault="00F45E56" w:rsidP="00F45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</w:t>
      </w: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F45E56" w:rsidRPr="00F45E56" w:rsidRDefault="00F45E56" w:rsidP="00F45E56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процесса.  Определив, чем вызвана школьная неуспеваемость, </w:t>
      </w:r>
      <w:proofErr w:type="gramStart"/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можно  оказать</w:t>
      </w:r>
      <w:proofErr w:type="gramEnd"/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учащемуся квалифицированную помощь по ее преодолению</w:t>
      </w:r>
    </w:p>
    <w:p w:rsidR="00F45E56" w:rsidRPr="00F45E56" w:rsidRDefault="00F45E56" w:rsidP="00F45E56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E5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Оказание помощи неуспевающему ученику на уроке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547"/>
      </w:tblGrid>
      <w:tr w:rsidR="00F45E56" w:rsidRPr="00F45E56" w:rsidTr="00F45E56">
        <w:tc>
          <w:tcPr>
            <w:tcW w:w="34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83" w:line="240" w:lineRule="auto"/>
              <w:ind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Calibri" w:eastAsia="Times New Roman" w:hAnsi="Calibri" w:cs="Arial"/>
                <w:i/>
                <w:iCs/>
                <w:color w:val="181818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71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83" w:line="240" w:lineRule="auto"/>
              <w:ind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Calibri" w:eastAsia="Times New Roman" w:hAnsi="Calibri" w:cs="Arial"/>
                <w:i/>
                <w:iCs/>
                <w:color w:val="181818"/>
                <w:sz w:val="21"/>
                <w:szCs w:val="21"/>
                <w:lang w:eastAsia="ru-RU"/>
              </w:rPr>
              <w:t>Виды помощи в учении      </w:t>
            </w:r>
          </w:p>
        </w:tc>
      </w:tr>
      <w:tr w:rsidR="00F45E56" w:rsidRPr="00F45E56" w:rsidTr="00F45E56">
        <w:tc>
          <w:tcPr>
            <w:tcW w:w="34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Контроль подготовленности учащихся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Создание атмосферы особой доброжелательности при опросе.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Снижение темпа опроса, разрешение дольше готовиться у доски.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Предложение учащимся примерного плана ответа.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Стимулирование оценкой, подбадриванием, похвалой.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4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Изложение нового материала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4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Самостоятельная работа учащихся на уроке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Напоминание приема и способа выполнения задания.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Указание на необходимость актуализировать то или иное правило.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Стимулирование самостоятельных действий слабоуспевающих.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4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Организация самостоятельной работы вне класса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Более подробное объяснение последовательности выполнения задания.</w:t>
            </w:r>
          </w:p>
          <w:p w:rsidR="00F45E56" w:rsidRPr="00F45E56" w:rsidRDefault="00F45E56" w:rsidP="00F45E56">
            <w:pPr>
              <w:spacing w:after="200" w:line="240" w:lineRule="auto"/>
              <w:ind w:right="113" w:firstLine="90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</w:tbl>
    <w:p w:rsidR="00F45E56" w:rsidRPr="00F45E56" w:rsidRDefault="00F45E56" w:rsidP="00F45E56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lastRenderedPageBreak/>
        <w:t>Профилактика неуспеваемости</w:t>
      </w:r>
      <w:r w:rsidRPr="00F45E56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5893"/>
      </w:tblGrid>
      <w:tr w:rsidR="00F45E56" w:rsidRPr="00F45E56" w:rsidTr="00F45E56">
        <w:tc>
          <w:tcPr>
            <w:tcW w:w="38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83" w:line="27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Calibri" w:eastAsia="Times New Roman" w:hAnsi="Calibri" w:cs="Arial"/>
                <w:i/>
                <w:iCs/>
                <w:color w:val="181818"/>
                <w:sz w:val="21"/>
                <w:szCs w:val="21"/>
                <w:lang w:eastAsia="ru-RU"/>
              </w:rPr>
              <w:t>Этапы урока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83" w:line="27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Calibri" w:eastAsia="Times New Roman" w:hAnsi="Calibri" w:cs="Arial"/>
                <w:i/>
                <w:iCs/>
                <w:color w:val="181818"/>
                <w:sz w:val="21"/>
                <w:szCs w:val="21"/>
                <w:lang w:eastAsia="ru-RU"/>
              </w:rPr>
              <w:t>Акценты в обучении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8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Контроль подготовленности учащихся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8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Изложение нового материала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8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Самостоятельная работа обучающихся на уроке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8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F45E56" w:rsidRPr="00F45E56" w:rsidTr="00F45E56">
        <w:tc>
          <w:tcPr>
            <w:tcW w:w="38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Организация самостоятельной работы вне класса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5E56" w:rsidRPr="00F45E56" w:rsidRDefault="00F45E56" w:rsidP="00F45E56">
            <w:pPr>
              <w:spacing w:after="200" w:line="270" w:lineRule="atLeast"/>
              <w:ind w:left="113" w:right="113"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</w:t>
            </w:r>
            <w:r w:rsidRPr="00F45E5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      </w:r>
            <w:r w:rsidRPr="00F45E56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</w:tbl>
    <w:p w:rsidR="00F45E56" w:rsidRPr="00F45E56" w:rsidRDefault="00F45E56" w:rsidP="00F45E56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lastRenderedPageBreak/>
        <w:t> </w:t>
      </w:r>
    </w:p>
    <w:p w:rsidR="00F45E56" w:rsidRPr="00F45E56" w:rsidRDefault="00F45E56" w:rsidP="00F45E5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РАБОТА С НЕУСПЕВАЮЩИМИ УЧЕНИКАМИ</w:t>
      </w:r>
    </w:p>
    <w:p w:rsidR="00F45E56" w:rsidRPr="00F45E56" w:rsidRDefault="00F45E56" w:rsidP="00F45E5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РЕКОМЕНДАЦИИ УЧИТЕЛЮ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Необходимо формирование индивидуального подхода к таким ученикам при дозировке домашнего задания, определении вариантов классных и контрольных работ, учитывать степень их подготовленности. А </w:t>
      </w:r>
      <w:proofErr w:type="gramStart"/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 же</w:t>
      </w:r>
      <w:proofErr w:type="gramEnd"/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дать ученику на обдумывание поставленного вопроса небольшое количество времени;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не заставлять отвечать новый, только что усвоенный на уроке материал;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путем правильной тактики опросов и поощрений сформировать уверенность в своих силах в своих знаниях, в возможности учиться;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следует осторожно оценивать неудачи ученика;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желательно чтобы ответы таких учеников были письменными, а не устными.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 Недостатки в развитии мотивационной сферы ребенка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Несформированность</w:t>
      </w:r>
      <w:proofErr w:type="spellEnd"/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 школьника положительной, устойчивой мотивации к учебной деятельности может стать ведущей причиной неуспеваемости. Что в этом случае делать учителю?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РЕКОМЕНДАЦИИ УЧИТЕЛЮ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Усилия учителя должны быть направлены на формирование устойчивой мотивации достижения успеха, с одной стороны и развитие учебных интересов с другой.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 Формирование устойчивой мотивации достижения успеха возможно с повышением самооценки школьника (тем самым самооценка играет положительную роль в утверждении личности ребенка как школьника в посильных для него видах деятельности).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 Преодоление неуверенности школьника в себе, т.е. рекомендуется ставить перед учеником такие задачи, которые будут ему посильны, выполнимы и соответствовать его возможностям.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 Стараться вычислить те сферы деятельности, в ходе выполнения которых ученик может проявить инициативу и заслужить признание в школе.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 Рекомендуется закрепить осознание школьником имеющихся у него достижений и успехов.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 Полезно поощрять, отличать и фиксировать малейшие удачи ребенка в учебной деятельности (тем самым не дать закрепиться новым неудачам).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7. Подробное обоснование поставленной оценки, а также выделение критериев, по которым идет оценивание, чтобы они были понятны самому ученику.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8. Формирование учебных интересов (дополнительный развивающий материал, обращение к непосредственному жизненному опыту, широкое использование собственных наблюдений, использование на уроке наглядного материала).</w:t>
      </w:r>
    </w:p>
    <w:p w:rsidR="00F45E56" w:rsidRPr="00F45E56" w:rsidRDefault="00F45E56" w:rsidP="00F4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E5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E56" w:rsidRPr="00F45E56" w:rsidRDefault="00F45E56" w:rsidP="00F45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sectPr w:rsidR="00F45E56" w:rsidRPr="00F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BBB"/>
    <w:multiLevelType w:val="multilevel"/>
    <w:tmpl w:val="885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1B5F"/>
    <w:multiLevelType w:val="multilevel"/>
    <w:tmpl w:val="89A0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E3FD3"/>
    <w:multiLevelType w:val="multilevel"/>
    <w:tmpl w:val="711E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37EE5"/>
    <w:multiLevelType w:val="multilevel"/>
    <w:tmpl w:val="B39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91560"/>
    <w:multiLevelType w:val="multilevel"/>
    <w:tmpl w:val="95B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B0CA7"/>
    <w:multiLevelType w:val="multilevel"/>
    <w:tmpl w:val="1DE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72770"/>
    <w:multiLevelType w:val="multilevel"/>
    <w:tmpl w:val="7AD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05780"/>
    <w:multiLevelType w:val="multilevel"/>
    <w:tmpl w:val="295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63FCE"/>
    <w:multiLevelType w:val="multilevel"/>
    <w:tmpl w:val="1BD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A2FA8"/>
    <w:multiLevelType w:val="multilevel"/>
    <w:tmpl w:val="FA7C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A1774"/>
    <w:multiLevelType w:val="multilevel"/>
    <w:tmpl w:val="F728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824A0"/>
    <w:multiLevelType w:val="multilevel"/>
    <w:tmpl w:val="74A4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21938"/>
    <w:multiLevelType w:val="multilevel"/>
    <w:tmpl w:val="4360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D2633"/>
    <w:multiLevelType w:val="multilevel"/>
    <w:tmpl w:val="6BA8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D2EAE"/>
    <w:multiLevelType w:val="multilevel"/>
    <w:tmpl w:val="2148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85DAC"/>
    <w:multiLevelType w:val="multilevel"/>
    <w:tmpl w:val="A514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645CB"/>
    <w:multiLevelType w:val="multilevel"/>
    <w:tmpl w:val="A05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474E8"/>
    <w:multiLevelType w:val="multilevel"/>
    <w:tmpl w:val="8B1A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36115"/>
    <w:multiLevelType w:val="multilevel"/>
    <w:tmpl w:val="712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F5DD3"/>
    <w:multiLevelType w:val="multilevel"/>
    <w:tmpl w:val="7832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D2F3B"/>
    <w:multiLevelType w:val="multilevel"/>
    <w:tmpl w:val="5E1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54CF3"/>
    <w:multiLevelType w:val="multilevel"/>
    <w:tmpl w:val="934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30636"/>
    <w:multiLevelType w:val="multilevel"/>
    <w:tmpl w:val="D22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3379"/>
    <w:multiLevelType w:val="multilevel"/>
    <w:tmpl w:val="C54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9"/>
  </w:num>
  <w:num w:numId="13">
    <w:abstractNumId w:val="22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21"/>
  </w:num>
  <w:num w:numId="19">
    <w:abstractNumId w:val="14"/>
  </w:num>
  <w:num w:numId="20">
    <w:abstractNumId w:val="15"/>
  </w:num>
  <w:num w:numId="21">
    <w:abstractNumId w:val="2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56"/>
    <w:rsid w:val="009139BA"/>
    <w:rsid w:val="00D7276C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4F92"/>
  <w15:chartTrackingRefBased/>
  <w15:docId w15:val="{E8651841-6569-475F-881E-2FC72D91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45E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5E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9">
    <w:name w:val="c19"/>
    <w:basedOn w:val="a"/>
    <w:rsid w:val="00F4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5E56"/>
  </w:style>
  <w:style w:type="paragraph" w:customStyle="1" w:styleId="c13">
    <w:name w:val="c13"/>
    <w:basedOn w:val="a"/>
    <w:rsid w:val="00F4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5E56"/>
  </w:style>
  <w:style w:type="paragraph" w:customStyle="1" w:styleId="c1">
    <w:name w:val="c1"/>
    <w:basedOn w:val="a"/>
    <w:rsid w:val="00F4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5E56"/>
  </w:style>
  <w:style w:type="character" w:customStyle="1" w:styleId="c22">
    <w:name w:val="c22"/>
    <w:basedOn w:val="a0"/>
    <w:rsid w:val="00F45E56"/>
  </w:style>
  <w:style w:type="paragraph" w:customStyle="1" w:styleId="c23">
    <w:name w:val="c23"/>
    <w:basedOn w:val="a"/>
    <w:rsid w:val="00F4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E56"/>
    <w:rPr>
      <w:color w:val="0000FF"/>
      <w:u w:val="single"/>
    </w:rPr>
  </w:style>
  <w:style w:type="paragraph" w:customStyle="1" w:styleId="search-excerpt">
    <w:name w:val="search-excerpt"/>
    <w:basedOn w:val="a"/>
    <w:rsid w:val="00F4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45E56"/>
  </w:style>
  <w:style w:type="character" w:customStyle="1" w:styleId="flag-throbber">
    <w:name w:val="flag-throbber"/>
    <w:basedOn w:val="a0"/>
    <w:rsid w:val="00F45E56"/>
  </w:style>
  <w:style w:type="paragraph" w:customStyle="1" w:styleId="a4">
    <w:name w:val="a"/>
    <w:basedOn w:val="a"/>
    <w:rsid w:val="00F4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84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9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84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59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34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73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2022-07-14T15:08:00Z</dcterms:created>
  <dcterms:modified xsi:type="dcterms:W3CDTF">2022-07-31T10:35:00Z</dcterms:modified>
</cp:coreProperties>
</file>